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charts/chart5.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22829" w14:textId="77777777" w:rsidR="00B316CC" w:rsidRPr="000A35FC" w:rsidRDefault="00B316CC" w:rsidP="000A35FC">
      <w:pPr>
        <w:spacing w:after="120" w:line="360" w:lineRule="auto"/>
        <w:jc w:val="both"/>
        <w:rPr>
          <w:rFonts w:ascii="Times New Roman" w:hAnsi="Times New Roman"/>
          <w:b/>
          <w:sz w:val="24"/>
          <w:szCs w:val="24"/>
          <w:u w:val="single"/>
        </w:rPr>
      </w:pPr>
      <w:r w:rsidRPr="000A35FC">
        <w:rPr>
          <w:rFonts w:ascii="Times New Roman" w:hAnsi="Times New Roman"/>
          <w:b/>
          <w:sz w:val="24"/>
          <w:szCs w:val="24"/>
          <w:u w:val="single"/>
        </w:rPr>
        <w:t>Project Title:</w:t>
      </w:r>
    </w:p>
    <w:p w14:paraId="785B94AB" w14:textId="03E1369D" w:rsidR="00B316CC" w:rsidRPr="000A35FC" w:rsidRDefault="00D820C7" w:rsidP="000A35FC">
      <w:pPr>
        <w:spacing w:line="360" w:lineRule="auto"/>
        <w:jc w:val="both"/>
        <w:rPr>
          <w:rFonts w:ascii="Times New Roman" w:hAnsi="Times New Roman"/>
          <w:sz w:val="24"/>
          <w:szCs w:val="24"/>
        </w:rPr>
      </w:pPr>
      <w:r w:rsidRPr="000A35FC">
        <w:rPr>
          <w:rFonts w:ascii="Times New Roman" w:hAnsi="Times New Roman"/>
          <w:sz w:val="24"/>
          <w:szCs w:val="24"/>
        </w:rPr>
        <w:t>Financial Accounting – A Tale of Two Companies</w:t>
      </w:r>
      <w:r w:rsidR="008008E1" w:rsidRPr="000A35FC">
        <w:rPr>
          <w:rFonts w:ascii="Times New Roman" w:hAnsi="Times New Roman"/>
          <w:sz w:val="24"/>
          <w:szCs w:val="24"/>
        </w:rPr>
        <w:t xml:space="preserve">: Nike and Lululemon </w:t>
      </w:r>
    </w:p>
    <w:p w14:paraId="01C89569" w14:textId="77777777" w:rsidR="00E705AB" w:rsidRPr="000A35FC" w:rsidRDefault="00E705AB" w:rsidP="000A35FC">
      <w:pPr>
        <w:spacing w:line="360" w:lineRule="auto"/>
        <w:jc w:val="both"/>
        <w:rPr>
          <w:rFonts w:ascii="Times New Roman" w:hAnsi="Times New Roman"/>
          <w:b/>
          <w:sz w:val="24"/>
          <w:szCs w:val="24"/>
        </w:rPr>
      </w:pPr>
    </w:p>
    <w:p w14:paraId="3EF58A11" w14:textId="77777777" w:rsidR="00805CBF" w:rsidRPr="000A35FC" w:rsidRDefault="00805CBF" w:rsidP="000A35FC">
      <w:pPr>
        <w:spacing w:line="360" w:lineRule="auto"/>
        <w:jc w:val="both"/>
        <w:rPr>
          <w:rFonts w:ascii="Times New Roman" w:hAnsi="Times New Roman"/>
          <w:b/>
          <w:sz w:val="24"/>
          <w:szCs w:val="24"/>
        </w:rPr>
      </w:pPr>
    </w:p>
    <w:p w14:paraId="6CBE81A5" w14:textId="77777777" w:rsidR="00805CBF" w:rsidRPr="000A35FC" w:rsidRDefault="00805CBF" w:rsidP="000A35FC">
      <w:pPr>
        <w:spacing w:line="360" w:lineRule="auto"/>
        <w:jc w:val="both"/>
        <w:rPr>
          <w:rFonts w:ascii="Times New Roman" w:hAnsi="Times New Roman"/>
          <w:b/>
          <w:sz w:val="24"/>
          <w:szCs w:val="24"/>
        </w:rPr>
      </w:pPr>
    </w:p>
    <w:p w14:paraId="63807E1E" w14:textId="77777777" w:rsidR="00805CBF" w:rsidRPr="000A35FC" w:rsidRDefault="00805CBF" w:rsidP="000A35FC">
      <w:pPr>
        <w:spacing w:line="360" w:lineRule="auto"/>
        <w:jc w:val="both"/>
        <w:rPr>
          <w:rFonts w:ascii="Times New Roman" w:hAnsi="Times New Roman"/>
          <w:b/>
          <w:sz w:val="24"/>
          <w:szCs w:val="24"/>
        </w:rPr>
      </w:pPr>
    </w:p>
    <w:p w14:paraId="53732362" w14:textId="77777777" w:rsidR="00805CBF" w:rsidRPr="000A35FC" w:rsidRDefault="00805CBF" w:rsidP="000A35FC">
      <w:pPr>
        <w:spacing w:line="360" w:lineRule="auto"/>
        <w:jc w:val="both"/>
        <w:rPr>
          <w:rFonts w:ascii="Times New Roman" w:hAnsi="Times New Roman"/>
          <w:b/>
          <w:sz w:val="24"/>
          <w:szCs w:val="24"/>
        </w:rPr>
      </w:pPr>
    </w:p>
    <w:p w14:paraId="03214251" w14:textId="77777777" w:rsidR="00805CBF" w:rsidRPr="000A35FC" w:rsidRDefault="00805CBF" w:rsidP="000A35FC">
      <w:pPr>
        <w:spacing w:line="360" w:lineRule="auto"/>
        <w:jc w:val="both"/>
        <w:rPr>
          <w:rFonts w:ascii="Times New Roman" w:hAnsi="Times New Roman"/>
          <w:b/>
          <w:sz w:val="24"/>
          <w:szCs w:val="24"/>
        </w:rPr>
      </w:pPr>
    </w:p>
    <w:p w14:paraId="2DF9DD7E" w14:textId="77777777" w:rsidR="00805CBF" w:rsidRPr="000A35FC" w:rsidRDefault="00805CBF" w:rsidP="000A35FC">
      <w:pPr>
        <w:spacing w:line="360" w:lineRule="auto"/>
        <w:jc w:val="both"/>
        <w:rPr>
          <w:rFonts w:ascii="Times New Roman" w:hAnsi="Times New Roman"/>
          <w:b/>
          <w:sz w:val="24"/>
          <w:szCs w:val="24"/>
        </w:rPr>
      </w:pPr>
    </w:p>
    <w:p w14:paraId="65B2E9DD" w14:textId="77777777" w:rsidR="00805CBF" w:rsidRPr="000A35FC" w:rsidRDefault="00805CBF" w:rsidP="000A35FC">
      <w:pPr>
        <w:spacing w:line="360" w:lineRule="auto"/>
        <w:jc w:val="both"/>
        <w:rPr>
          <w:rFonts w:ascii="Times New Roman" w:hAnsi="Times New Roman"/>
          <w:b/>
          <w:sz w:val="24"/>
          <w:szCs w:val="24"/>
        </w:rPr>
      </w:pPr>
    </w:p>
    <w:p w14:paraId="1BC2B1E2" w14:textId="77777777" w:rsidR="00805CBF" w:rsidRPr="000A35FC" w:rsidRDefault="00805CBF" w:rsidP="000A35FC">
      <w:pPr>
        <w:spacing w:line="360" w:lineRule="auto"/>
        <w:jc w:val="both"/>
        <w:rPr>
          <w:rFonts w:ascii="Times New Roman" w:hAnsi="Times New Roman"/>
          <w:b/>
          <w:sz w:val="24"/>
          <w:szCs w:val="24"/>
        </w:rPr>
      </w:pPr>
    </w:p>
    <w:p w14:paraId="172EE27A" w14:textId="77777777" w:rsidR="00805CBF" w:rsidRPr="000A35FC" w:rsidRDefault="00805CBF" w:rsidP="000A35FC">
      <w:pPr>
        <w:spacing w:line="360" w:lineRule="auto"/>
        <w:jc w:val="both"/>
        <w:rPr>
          <w:rFonts w:ascii="Times New Roman" w:hAnsi="Times New Roman"/>
          <w:b/>
          <w:sz w:val="24"/>
          <w:szCs w:val="24"/>
        </w:rPr>
      </w:pPr>
    </w:p>
    <w:p w14:paraId="7CB31EB6" w14:textId="77777777" w:rsidR="00805CBF" w:rsidRPr="000A35FC" w:rsidRDefault="00805CBF" w:rsidP="000A35FC">
      <w:pPr>
        <w:spacing w:line="360" w:lineRule="auto"/>
        <w:jc w:val="both"/>
        <w:rPr>
          <w:rFonts w:ascii="Times New Roman" w:hAnsi="Times New Roman"/>
          <w:b/>
          <w:sz w:val="24"/>
          <w:szCs w:val="24"/>
        </w:rPr>
      </w:pPr>
    </w:p>
    <w:p w14:paraId="7EAE1563" w14:textId="77777777" w:rsidR="00805CBF" w:rsidRPr="000A35FC" w:rsidRDefault="00805CBF" w:rsidP="000A35FC">
      <w:pPr>
        <w:spacing w:line="360" w:lineRule="auto"/>
        <w:jc w:val="both"/>
        <w:rPr>
          <w:rFonts w:ascii="Times New Roman" w:hAnsi="Times New Roman"/>
          <w:b/>
          <w:sz w:val="24"/>
          <w:szCs w:val="24"/>
        </w:rPr>
      </w:pPr>
    </w:p>
    <w:p w14:paraId="77777F1B" w14:textId="77777777" w:rsidR="00805CBF" w:rsidRPr="000A35FC" w:rsidRDefault="00805CBF" w:rsidP="000A35FC">
      <w:pPr>
        <w:spacing w:line="360" w:lineRule="auto"/>
        <w:jc w:val="both"/>
        <w:rPr>
          <w:rFonts w:ascii="Times New Roman" w:hAnsi="Times New Roman"/>
          <w:b/>
          <w:sz w:val="24"/>
          <w:szCs w:val="24"/>
        </w:rPr>
      </w:pPr>
    </w:p>
    <w:p w14:paraId="3E5430A9" w14:textId="77777777" w:rsidR="00805CBF" w:rsidRPr="000A35FC" w:rsidRDefault="00805CBF" w:rsidP="000A35FC">
      <w:pPr>
        <w:spacing w:line="360" w:lineRule="auto"/>
        <w:jc w:val="both"/>
        <w:rPr>
          <w:rFonts w:ascii="Times New Roman" w:hAnsi="Times New Roman"/>
          <w:b/>
          <w:sz w:val="24"/>
          <w:szCs w:val="24"/>
        </w:rPr>
      </w:pPr>
    </w:p>
    <w:p w14:paraId="3EDB94FE" w14:textId="77777777" w:rsidR="00805CBF" w:rsidRPr="000A35FC" w:rsidRDefault="00805CBF" w:rsidP="000A35FC">
      <w:pPr>
        <w:spacing w:line="360" w:lineRule="auto"/>
        <w:jc w:val="both"/>
        <w:rPr>
          <w:rFonts w:ascii="Times New Roman" w:hAnsi="Times New Roman"/>
          <w:b/>
          <w:sz w:val="24"/>
          <w:szCs w:val="24"/>
        </w:rPr>
      </w:pPr>
    </w:p>
    <w:p w14:paraId="08EFA6B3" w14:textId="77777777" w:rsidR="00805CBF" w:rsidRPr="000A35FC" w:rsidRDefault="00805CBF" w:rsidP="000A35FC">
      <w:pPr>
        <w:spacing w:line="360" w:lineRule="auto"/>
        <w:jc w:val="both"/>
        <w:rPr>
          <w:rFonts w:ascii="Times New Roman" w:hAnsi="Times New Roman"/>
          <w:b/>
          <w:sz w:val="24"/>
          <w:szCs w:val="24"/>
        </w:rPr>
      </w:pPr>
    </w:p>
    <w:p w14:paraId="6CDACD02" w14:textId="77777777" w:rsidR="00805CBF" w:rsidRPr="000A35FC" w:rsidRDefault="00805CBF" w:rsidP="000A35FC">
      <w:pPr>
        <w:spacing w:line="360" w:lineRule="auto"/>
        <w:jc w:val="both"/>
        <w:rPr>
          <w:rFonts w:ascii="Times New Roman" w:hAnsi="Times New Roman"/>
          <w:b/>
          <w:sz w:val="24"/>
          <w:szCs w:val="24"/>
        </w:rPr>
      </w:pPr>
    </w:p>
    <w:p w14:paraId="20F7B778" w14:textId="77777777" w:rsidR="00805CBF" w:rsidRPr="000A35FC" w:rsidRDefault="00805CBF" w:rsidP="000A35FC">
      <w:pPr>
        <w:spacing w:line="360" w:lineRule="auto"/>
        <w:jc w:val="both"/>
        <w:rPr>
          <w:rFonts w:ascii="Times New Roman" w:hAnsi="Times New Roman"/>
          <w:b/>
          <w:sz w:val="24"/>
          <w:szCs w:val="24"/>
        </w:rPr>
      </w:pPr>
    </w:p>
    <w:p w14:paraId="5A464617" w14:textId="77777777" w:rsidR="00805CBF" w:rsidRPr="000A35FC" w:rsidRDefault="00805CBF" w:rsidP="000A35FC">
      <w:pPr>
        <w:spacing w:line="360" w:lineRule="auto"/>
        <w:jc w:val="both"/>
        <w:rPr>
          <w:rFonts w:ascii="Times New Roman" w:hAnsi="Times New Roman"/>
          <w:b/>
          <w:sz w:val="24"/>
          <w:szCs w:val="24"/>
        </w:rPr>
      </w:pPr>
    </w:p>
    <w:p w14:paraId="54FBD5D8" w14:textId="77777777" w:rsidR="00805CBF" w:rsidRPr="000A35FC" w:rsidRDefault="00805CBF" w:rsidP="000A35FC">
      <w:pPr>
        <w:spacing w:line="360" w:lineRule="auto"/>
        <w:jc w:val="both"/>
        <w:rPr>
          <w:rFonts w:ascii="Times New Roman" w:hAnsi="Times New Roman"/>
          <w:b/>
          <w:sz w:val="24"/>
          <w:szCs w:val="24"/>
        </w:rPr>
      </w:pPr>
    </w:p>
    <w:p w14:paraId="5C47921D" w14:textId="77777777" w:rsidR="00805CBF" w:rsidRPr="000A35FC" w:rsidRDefault="00805CBF" w:rsidP="000A35FC">
      <w:pPr>
        <w:spacing w:line="360" w:lineRule="auto"/>
        <w:jc w:val="both"/>
        <w:rPr>
          <w:rFonts w:ascii="Times New Roman" w:hAnsi="Times New Roman"/>
          <w:b/>
          <w:sz w:val="24"/>
          <w:szCs w:val="24"/>
        </w:rPr>
      </w:pPr>
    </w:p>
    <w:p w14:paraId="40BD49C9" w14:textId="77777777" w:rsidR="00805CBF" w:rsidRPr="000A35FC" w:rsidRDefault="00805CBF" w:rsidP="000A35FC">
      <w:pPr>
        <w:spacing w:line="360" w:lineRule="auto"/>
        <w:jc w:val="both"/>
        <w:rPr>
          <w:rFonts w:ascii="Times New Roman" w:hAnsi="Times New Roman"/>
          <w:b/>
          <w:sz w:val="24"/>
          <w:szCs w:val="24"/>
        </w:rPr>
      </w:pPr>
    </w:p>
    <w:p w14:paraId="38C48966" w14:textId="77777777" w:rsidR="00805CBF" w:rsidRPr="000A35FC" w:rsidRDefault="00805CBF" w:rsidP="000A35FC">
      <w:pPr>
        <w:spacing w:line="360" w:lineRule="auto"/>
        <w:jc w:val="both"/>
        <w:rPr>
          <w:rFonts w:ascii="Times New Roman" w:hAnsi="Times New Roman"/>
          <w:b/>
          <w:sz w:val="24"/>
          <w:szCs w:val="24"/>
        </w:rPr>
      </w:pPr>
    </w:p>
    <w:p w14:paraId="66D7DEAD" w14:textId="77777777" w:rsidR="00805CBF" w:rsidRPr="000A35FC" w:rsidRDefault="00805CBF" w:rsidP="000A35FC">
      <w:pPr>
        <w:spacing w:line="360" w:lineRule="auto"/>
        <w:jc w:val="both"/>
        <w:rPr>
          <w:rFonts w:ascii="Times New Roman" w:hAnsi="Times New Roman"/>
          <w:b/>
          <w:sz w:val="24"/>
          <w:szCs w:val="24"/>
        </w:rPr>
      </w:pPr>
    </w:p>
    <w:p w14:paraId="02867DC6" w14:textId="77777777" w:rsidR="00805CBF" w:rsidRPr="000A35FC" w:rsidRDefault="00805CBF" w:rsidP="000A35FC">
      <w:pPr>
        <w:spacing w:line="360" w:lineRule="auto"/>
        <w:jc w:val="both"/>
        <w:rPr>
          <w:rFonts w:ascii="Times New Roman" w:hAnsi="Times New Roman"/>
          <w:b/>
          <w:sz w:val="24"/>
          <w:szCs w:val="24"/>
        </w:rPr>
      </w:pPr>
    </w:p>
    <w:p w14:paraId="7C93D01F" w14:textId="77777777" w:rsidR="00805CBF" w:rsidRPr="000A35FC" w:rsidRDefault="00805CBF" w:rsidP="000A35FC">
      <w:pPr>
        <w:spacing w:line="360" w:lineRule="auto"/>
        <w:jc w:val="both"/>
        <w:rPr>
          <w:rFonts w:ascii="Times New Roman" w:hAnsi="Times New Roman"/>
          <w:b/>
          <w:sz w:val="24"/>
          <w:szCs w:val="24"/>
        </w:rPr>
      </w:pPr>
    </w:p>
    <w:p w14:paraId="4DA42222" w14:textId="77777777" w:rsidR="00805CBF" w:rsidRPr="000A35FC" w:rsidRDefault="00805CBF" w:rsidP="000A35FC">
      <w:pPr>
        <w:spacing w:line="360" w:lineRule="auto"/>
        <w:jc w:val="both"/>
        <w:rPr>
          <w:rFonts w:ascii="Times New Roman" w:hAnsi="Times New Roman"/>
          <w:b/>
          <w:sz w:val="24"/>
          <w:szCs w:val="24"/>
        </w:rPr>
      </w:pPr>
    </w:p>
    <w:p w14:paraId="2CBE6046" w14:textId="77777777" w:rsidR="00805CBF" w:rsidRPr="000A35FC" w:rsidRDefault="00805CBF" w:rsidP="000A35FC">
      <w:pPr>
        <w:spacing w:line="360" w:lineRule="auto"/>
        <w:jc w:val="both"/>
        <w:rPr>
          <w:rFonts w:ascii="Times New Roman" w:hAnsi="Times New Roman"/>
          <w:b/>
          <w:sz w:val="24"/>
          <w:szCs w:val="24"/>
        </w:rPr>
      </w:pPr>
    </w:p>
    <w:p w14:paraId="071888C2" w14:textId="77777777" w:rsidR="00E705AB" w:rsidRPr="000A35FC" w:rsidRDefault="00E705AB" w:rsidP="000A35FC">
      <w:pPr>
        <w:spacing w:line="360" w:lineRule="auto"/>
        <w:jc w:val="both"/>
        <w:rPr>
          <w:rFonts w:ascii="Times New Roman" w:hAnsi="Times New Roman"/>
          <w:sz w:val="24"/>
          <w:szCs w:val="24"/>
        </w:rPr>
      </w:pPr>
      <w:bookmarkStart w:id="0" w:name="_GoBack"/>
      <w:bookmarkEnd w:id="0"/>
    </w:p>
    <w:p w14:paraId="68435431" w14:textId="283C9FF0" w:rsidR="000A35FC" w:rsidRPr="000A35FC" w:rsidRDefault="00E705AB" w:rsidP="000A35FC">
      <w:pPr>
        <w:spacing w:line="360" w:lineRule="auto"/>
        <w:jc w:val="both"/>
        <w:rPr>
          <w:rFonts w:ascii="Times New Roman" w:hAnsi="Times New Roman"/>
          <w:b/>
          <w:sz w:val="24"/>
          <w:szCs w:val="24"/>
        </w:rPr>
      </w:pPr>
      <w:r w:rsidRPr="000A35FC">
        <w:rPr>
          <w:rFonts w:ascii="Times New Roman" w:hAnsi="Times New Roman"/>
          <w:b/>
          <w:sz w:val="24"/>
          <w:szCs w:val="24"/>
        </w:rPr>
        <w:t xml:space="preserve">Evaluation of the </w:t>
      </w:r>
      <w:r w:rsidR="001A6F29" w:rsidRPr="000A35FC">
        <w:rPr>
          <w:rFonts w:ascii="Times New Roman" w:hAnsi="Times New Roman"/>
          <w:b/>
          <w:sz w:val="24"/>
          <w:szCs w:val="24"/>
        </w:rPr>
        <w:t>Company’s</w:t>
      </w:r>
      <w:r w:rsidRPr="000A35FC">
        <w:rPr>
          <w:rFonts w:ascii="Times New Roman" w:hAnsi="Times New Roman"/>
          <w:b/>
          <w:sz w:val="24"/>
          <w:szCs w:val="24"/>
        </w:rPr>
        <w:t xml:space="preserve"> Financial Position </w:t>
      </w:r>
    </w:p>
    <w:p w14:paraId="06630B9F" w14:textId="61CFD2E8" w:rsidR="001865A4" w:rsidRPr="000A35FC" w:rsidRDefault="008008E1" w:rsidP="000A35FC">
      <w:pPr>
        <w:spacing w:line="360" w:lineRule="auto"/>
        <w:jc w:val="both"/>
        <w:rPr>
          <w:rFonts w:ascii="Times New Roman" w:hAnsi="Times New Roman"/>
          <w:b/>
          <w:sz w:val="24"/>
          <w:szCs w:val="24"/>
        </w:rPr>
      </w:pPr>
      <w:r w:rsidRPr="000A35FC">
        <w:rPr>
          <w:rFonts w:ascii="Times New Roman" w:hAnsi="Times New Roman"/>
          <w:sz w:val="24"/>
          <w:szCs w:val="24"/>
        </w:rPr>
        <w:t xml:space="preserve">Both Nike and </w:t>
      </w:r>
      <w:r w:rsidR="006E079C" w:rsidRPr="000A35FC">
        <w:rPr>
          <w:rFonts w:ascii="Times New Roman" w:hAnsi="Times New Roman"/>
          <w:sz w:val="24"/>
          <w:szCs w:val="24"/>
        </w:rPr>
        <w:t>Lululemon have</w:t>
      </w:r>
      <w:r w:rsidR="00964EBD" w:rsidRPr="000A35FC">
        <w:rPr>
          <w:rFonts w:ascii="Times New Roman" w:hAnsi="Times New Roman"/>
          <w:sz w:val="24"/>
          <w:szCs w:val="24"/>
        </w:rPr>
        <w:t xml:space="preserve"> consistent profitability over the past three financial periods. </w:t>
      </w:r>
      <w:r w:rsidR="00AC470C" w:rsidRPr="000A35FC">
        <w:rPr>
          <w:rFonts w:ascii="Times New Roman" w:hAnsi="Times New Roman"/>
          <w:sz w:val="24"/>
          <w:szCs w:val="24"/>
        </w:rPr>
        <w:t xml:space="preserve">Lululemon has much stronger profitability </w:t>
      </w:r>
      <w:r w:rsidR="00DC6C3B">
        <w:rPr>
          <w:rFonts w:ascii="Times New Roman" w:hAnsi="Times New Roman"/>
          <w:sz w:val="24"/>
          <w:szCs w:val="24"/>
        </w:rPr>
        <w:t>for the past three years</w:t>
      </w:r>
      <w:r w:rsidR="005541B1" w:rsidRPr="000A35FC">
        <w:rPr>
          <w:rFonts w:ascii="Times New Roman" w:hAnsi="Times New Roman"/>
          <w:sz w:val="24"/>
          <w:szCs w:val="24"/>
        </w:rPr>
        <w:t xml:space="preserve">. </w:t>
      </w:r>
    </w:p>
    <w:p w14:paraId="118A33D1" w14:textId="77777777" w:rsidR="00F52D1E" w:rsidRPr="000A35FC" w:rsidRDefault="00F52D1E" w:rsidP="000A35FC">
      <w:pPr>
        <w:spacing w:line="360" w:lineRule="auto"/>
        <w:jc w:val="both"/>
        <w:rPr>
          <w:rFonts w:ascii="Times New Roman" w:hAnsi="Times New Roman"/>
          <w:sz w:val="24"/>
          <w:szCs w:val="24"/>
        </w:rPr>
      </w:pPr>
    </w:p>
    <w:p w14:paraId="72EC8408" w14:textId="77777777" w:rsidR="00C531F1" w:rsidRPr="000A35FC" w:rsidRDefault="006C59FC" w:rsidP="000A35FC">
      <w:pPr>
        <w:keepNext/>
        <w:spacing w:line="360" w:lineRule="auto"/>
        <w:jc w:val="both"/>
        <w:rPr>
          <w:rFonts w:ascii="Times New Roman" w:hAnsi="Times New Roman"/>
          <w:sz w:val="24"/>
          <w:szCs w:val="24"/>
        </w:rPr>
      </w:pPr>
      <w:r w:rsidRPr="000A35FC">
        <w:rPr>
          <w:rFonts w:ascii="Times New Roman" w:hAnsi="Times New Roman"/>
          <w:noProof/>
          <w:sz w:val="24"/>
          <w:szCs w:val="24"/>
          <w:shd w:val="clear" w:color="auto" w:fill="00B0F0"/>
        </w:rPr>
        <w:drawing>
          <wp:inline distT="0" distB="0" distL="0" distR="0" wp14:anchorId="3D6625A2" wp14:editId="290D046A">
            <wp:extent cx="5762625" cy="3600450"/>
            <wp:effectExtent l="0" t="0" r="9525" b="1905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A91F12F" w14:textId="71F8E399" w:rsidR="00E62D39" w:rsidRPr="000A35FC" w:rsidRDefault="00C531F1" w:rsidP="000A35FC">
      <w:pPr>
        <w:pStyle w:val="Caption"/>
        <w:spacing w:line="360" w:lineRule="auto"/>
        <w:jc w:val="both"/>
        <w:rPr>
          <w:rFonts w:ascii="Times New Roman" w:hAnsi="Times New Roman"/>
          <w:sz w:val="24"/>
          <w:szCs w:val="24"/>
        </w:rPr>
      </w:pPr>
      <w:r w:rsidRPr="000A35FC">
        <w:rPr>
          <w:rFonts w:ascii="Times New Roman" w:hAnsi="Times New Roman"/>
          <w:sz w:val="24"/>
          <w:szCs w:val="24"/>
        </w:rPr>
        <w:t xml:space="preserve">Figure </w:t>
      </w:r>
      <w:r w:rsidRPr="000A35FC">
        <w:rPr>
          <w:rFonts w:ascii="Times New Roman" w:hAnsi="Times New Roman"/>
          <w:sz w:val="24"/>
          <w:szCs w:val="24"/>
        </w:rPr>
        <w:fldChar w:fldCharType="begin"/>
      </w:r>
      <w:r w:rsidRPr="000A35FC">
        <w:rPr>
          <w:rFonts w:ascii="Times New Roman" w:hAnsi="Times New Roman"/>
          <w:sz w:val="24"/>
          <w:szCs w:val="24"/>
        </w:rPr>
        <w:instrText xml:space="preserve"> SEQ Figure \* ARABIC </w:instrText>
      </w:r>
      <w:r w:rsidRPr="000A35FC">
        <w:rPr>
          <w:rFonts w:ascii="Times New Roman" w:hAnsi="Times New Roman"/>
          <w:sz w:val="24"/>
          <w:szCs w:val="24"/>
        </w:rPr>
        <w:fldChar w:fldCharType="separate"/>
      </w:r>
      <w:r w:rsidRPr="000A35FC">
        <w:rPr>
          <w:rFonts w:ascii="Times New Roman" w:hAnsi="Times New Roman"/>
          <w:noProof/>
          <w:sz w:val="24"/>
          <w:szCs w:val="24"/>
        </w:rPr>
        <w:t>1</w:t>
      </w:r>
      <w:r w:rsidRPr="000A35FC">
        <w:rPr>
          <w:rFonts w:ascii="Times New Roman" w:hAnsi="Times New Roman"/>
          <w:sz w:val="24"/>
          <w:szCs w:val="24"/>
        </w:rPr>
        <w:fldChar w:fldCharType="end"/>
      </w:r>
      <w:r w:rsidRPr="000A35FC">
        <w:rPr>
          <w:rFonts w:ascii="Times New Roman" w:hAnsi="Times New Roman"/>
          <w:sz w:val="24"/>
          <w:szCs w:val="24"/>
        </w:rPr>
        <w:t>: Net profit Margin</w:t>
      </w:r>
    </w:p>
    <w:p w14:paraId="29C5CC0F" w14:textId="7CDAE712" w:rsidR="005541B1" w:rsidRPr="000A35FC" w:rsidRDefault="00CF7B2D" w:rsidP="000A35FC">
      <w:pPr>
        <w:spacing w:line="360" w:lineRule="auto"/>
        <w:jc w:val="both"/>
        <w:rPr>
          <w:rFonts w:ascii="Times New Roman" w:hAnsi="Times New Roman"/>
          <w:sz w:val="24"/>
          <w:szCs w:val="24"/>
        </w:rPr>
      </w:pPr>
      <w:r w:rsidRPr="000A35FC">
        <w:rPr>
          <w:rFonts w:ascii="Times New Roman" w:hAnsi="Times New Roman"/>
          <w:sz w:val="24"/>
          <w:szCs w:val="24"/>
        </w:rPr>
        <w:t xml:space="preserve">Lululemon has in the past two years widened the margin posting higher ROA in 2018 and 2019 even as Nike also increases the </w:t>
      </w:r>
      <w:r w:rsidR="00DC6C3B" w:rsidRPr="000A35FC">
        <w:rPr>
          <w:rFonts w:ascii="Times New Roman" w:hAnsi="Times New Roman"/>
          <w:sz w:val="24"/>
          <w:szCs w:val="24"/>
        </w:rPr>
        <w:t>margin as</w:t>
      </w:r>
      <w:r w:rsidR="00CB15ED" w:rsidRPr="000A35FC">
        <w:rPr>
          <w:rFonts w:ascii="Times New Roman" w:hAnsi="Times New Roman"/>
          <w:sz w:val="24"/>
          <w:szCs w:val="24"/>
        </w:rPr>
        <w:t xml:space="preserve"> demonstrated below. Rising ROA suggests increasing efficiency in using firm assets for value creation, and Lululemon is a better value creator </w:t>
      </w:r>
      <w:r w:rsidR="00C531F1" w:rsidRPr="000A35FC">
        <w:rPr>
          <w:rFonts w:ascii="Times New Roman" w:hAnsi="Times New Roman"/>
          <w:sz w:val="24"/>
          <w:szCs w:val="24"/>
        </w:rPr>
        <w:t xml:space="preserve">in terms of asset </w:t>
      </w:r>
      <w:r w:rsidR="00E92E89" w:rsidRPr="000A35FC">
        <w:rPr>
          <w:rFonts w:ascii="Times New Roman" w:hAnsi="Times New Roman"/>
          <w:sz w:val="24"/>
          <w:szCs w:val="24"/>
        </w:rPr>
        <w:t>utilization</w:t>
      </w:r>
      <w:r w:rsidR="00CB15ED" w:rsidRPr="000A35FC">
        <w:rPr>
          <w:rFonts w:ascii="Times New Roman" w:hAnsi="Times New Roman"/>
          <w:sz w:val="24"/>
          <w:szCs w:val="24"/>
        </w:rPr>
        <w:t xml:space="preserve">. </w:t>
      </w:r>
    </w:p>
    <w:p w14:paraId="05E5FFDB" w14:textId="77777777" w:rsidR="00C531F1" w:rsidRPr="000A35FC" w:rsidRDefault="00E62D39" w:rsidP="000A35FC">
      <w:pPr>
        <w:keepNext/>
        <w:spacing w:line="360" w:lineRule="auto"/>
        <w:jc w:val="both"/>
        <w:rPr>
          <w:rFonts w:ascii="Times New Roman" w:hAnsi="Times New Roman"/>
          <w:sz w:val="24"/>
          <w:szCs w:val="24"/>
        </w:rPr>
      </w:pPr>
      <w:r w:rsidRPr="000A35FC">
        <w:rPr>
          <w:rFonts w:ascii="Times New Roman" w:hAnsi="Times New Roman"/>
          <w:noProof/>
          <w:sz w:val="24"/>
          <w:szCs w:val="24"/>
          <w:shd w:val="clear" w:color="auto" w:fill="00B0F0"/>
        </w:rPr>
        <w:lastRenderedPageBreak/>
        <w:drawing>
          <wp:inline distT="0" distB="0" distL="0" distR="0" wp14:anchorId="49B99304" wp14:editId="365B5BEE">
            <wp:extent cx="5762625" cy="3600450"/>
            <wp:effectExtent l="0" t="0" r="9525"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BF209A" w14:textId="33F33558" w:rsidR="006C59FC" w:rsidRPr="000A35FC" w:rsidRDefault="00C531F1" w:rsidP="000A35FC">
      <w:pPr>
        <w:pStyle w:val="Caption"/>
        <w:spacing w:line="360" w:lineRule="auto"/>
        <w:jc w:val="both"/>
        <w:rPr>
          <w:rFonts w:ascii="Times New Roman" w:hAnsi="Times New Roman"/>
          <w:b w:val="0"/>
          <w:sz w:val="24"/>
          <w:szCs w:val="24"/>
        </w:rPr>
      </w:pPr>
      <w:r w:rsidRPr="000A35FC">
        <w:rPr>
          <w:rFonts w:ascii="Times New Roman" w:hAnsi="Times New Roman"/>
          <w:sz w:val="24"/>
          <w:szCs w:val="24"/>
        </w:rPr>
        <w:t xml:space="preserve">Figure </w:t>
      </w:r>
      <w:r w:rsidRPr="000A35FC">
        <w:rPr>
          <w:rFonts w:ascii="Times New Roman" w:hAnsi="Times New Roman"/>
          <w:sz w:val="24"/>
          <w:szCs w:val="24"/>
        </w:rPr>
        <w:fldChar w:fldCharType="begin"/>
      </w:r>
      <w:r w:rsidRPr="000A35FC">
        <w:rPr>
          <w:rFonts w:ascii="Times New Roman" w:hAnsi="Times New Roman"/>
          <w:sz w:val="24"/>
          <w:szCs w:val="24"/>
        </w:rPr>
        <w:instrText xml:space="preserve"> SEQ Figure \* ARABIC </w:instrText>
      </w:r>
      <w:r w:rsidRPr="000A35FC">
        <w:rPr>
          <w:rFonts w:ascii="Times New Roman" w:hAnsi="Times New Roman"/>
          <w:sz w:val="24"/>
          <w:szCs w:val="24"/>
        </w:rPr>
        <w:fldChar w:fldCharType="separate"/>
      </w:r>
      <w:r w:rsidRPr="000A35FC">
        <w:rPr>
          <w:rFonts w:ascii="Times New Roman" w:hAnsi="Times New Roman"/>
          <w:noProof/>
          <w:sz w:val="24"/>
          <w:szCs w:val="24"/>
        </w:rPr>
        <w:t>2</w:t>
      </w:r>
      <w:r w:rsidRPr="000A35FC">
        <w:rPr>
          <w:rFonts w:ascii="Times New Roman" w:hAnsi="Times New Roman"/>
          <w:sz w:val="24"/>
          <w:szCs w:val="24"/>
        </w:rPr>
        <w:fldChar w:fldCharType="end"/>
      </w:r>
      <w:r w:rsidRPr="000A35FC">
        <w:rPr>
          <w:rFonts w:ascii="Times New Roman" w:hAnsi="Times New Roman"/>
          <w:sz w:val="24"/>
          <w:szCs w:val="24"/>
        </w:rPr>
        <w:t>: Return on Assets</w:t>
      </w:r>
    </w:p>
    <w:p w14:paraId="7606BB90" w14:textId="55A4FEAC" w:rsidR="00E705AB" w:rsidRPr="000A35FC" w:rsidRDefault="00E705AB" w:rsidP="000A35FC">
      <w:pPr>
        <w:spacing w:line="360" w:lineRule="auto"/>
        <w:jc w:val="both"/>
        <w:rPr>
          <w:rFonts w:ascii="Times New Roman" w:hAnsi="Times New Roman"/>
          <w:sz w:val="24"/>
          <w:szCs w:val="24"/>
        </w:rPr>
      </w:pPr>
      <w:r w:rsidRPr="000A35FC">
        <w:rPr>
          <w:rFonts w:ascii="Times New Roman" w:hAnsi="Times New Roman"/>
          <w:sz w:val="24"/>
          <w:szCs w:val="24"/>
        </w:rPr>
        <w:t>Both companies e</w:t>
      </w:r>
      <w:r w:rsidR="00A47ABD" w:rsidRPr="000A35FC">
        <w:rPr>
          <w:rFonts w:ascii="Times New Roman" w:hAnsi="Times New Roman"/>
          <w:sz w:val="24"/>
          <w:szCs w:val="24"/>
        </w:rPr>
        <w:t>njoy strong liquidity strength. They</w:t>
      </w:r>
      <w:r w:rsidR="00BE732F" w:rsidRPr="000A35FC">
        <w:rPr>
          <w:rFonts w:ascii="Times New Roman" w:hAnsi="Times New Roman"/>
          <w:sz w:val="24"/>
          <w:szCs w:val="24"/>
        </w:rPr>
        <w:t xml:space="preserve"> have an asset ratio exceeding 2</w:t>
      </w:r>
      <w:r w:rsidR="00A47ABD" w:rsidRPr="000A35FC">
        <w:rPr>
          <w:rFonts w:ascii="Times New Roman" w:hAnsi="Times New Roman"/>
          <w:sz w:val="24"/>
          <w:szCs w:val="24"/>
        </w:rPr>
        <w:t xml:space="preserve"> (figure below)</w:t>
      </w:r>
      <w:r w:rsidR="00BE732F" w:rsidRPr="000A35FC">
        <w:rPr>
          <w:rFonts w:ascii="Times New Roman" w:hAnsi="Times New Roman"/>
          <w:sz w:val="24"/>
          <w:szCs w:val="24"/>
        </w:rPr>
        <w:t xml:space="preserve">, indicating that their current </w:t>
      </w:r>
      <w:r w:rsidR="00DC6C3B" w:rsidRPr="000A35FC">
        <w:rPr>
          <w:rFonts w:ascii="Times New Roman" w:hAnsi="Times New Roman"/>
          <w:sz w:val="24"/>
          <w:szCs w:val="24"/>
        </w:rPr>
        <w:t>assets will</w:t>
      </w:r>
      <w:r w:rsidR="00BE732F" w:rsidRPr="000A35FC">
        <w:rPr>
          <w:rFonts w:ascii="Times New Roman" w:hAnsi="Times New Roman"/>
          <w:sz w:val="24"/>
          <w:szCs w:val="24"/>
        </w:rPr>
        <w:t xml:space="preserve"> adequately cover their </w:t>
      </w:r>
      <w:r w:rsidR="00A47ABD" w:rsidRPr="000A35FC">
        <w:rPr>
          <w:rFonts w:ascii="Times New Roman" w:hAnsi="Times New Roman"/>
          <w:sz w:val="24"/>
          <w:szCs w:val="24"/>
        </w:rPr>
        <w:t>short-term obligations.</w:t>
      </w:r>
      <w:r w:rsidR="00B722F9" w:rsidRPr="000A35FC">
        <w:rPr>
          <w:rFonts w:ascii="Times New Roman" w:hAnsi="Times New Roman"/>
          <w:sz w:val="24"/>
          <w:szCs w:val="24"/>
        </w:rPr>
        <w:t xml:space="preserve"> Lululemon has stronger liquidity position as it has had a higher current ratio in the past three years.</w:t>
      </w:r>
    </w:p>
    <w:p w14:paraId="12972F14" w14:textId="77777777" w:rsidR="002A736B" w:rsidRPr="000A35FC" w:rsidRDefault="002A736B" w:rsidP="000A35FC">
      <w:pPr>
        <w:spacing w:line="360" w:lineRule="auto"/>
        <w:jc w:val="both"/>
        <w:rPr>
          <w:rFonts w:ascii="Times New Roman" w:hAnsi="Times New Roman"/>
          <w:sz w:val="24"/>
          <w:szCs w:val="24"/>
        </w:rPr>
      </w:pPr>
    </w:p>
    <w:p w14:paraId="0A24D3AD" w14:textId="77777777" w:rsidR="00666EC6" w:rsidRPr="000A35FC" w:rsidRDefault="00E705AB" w:rsidP="000A35FC">
      <w:pPr>
        <w:keepNext/>
        <w:spacing w:line="360" w:lineRule="auto"/>
        <w:jc w:val="both"/>
        <w:rPr>
          <w:rFonts w:ascii="Times New Roman" w:hAnsi="Times New Roman"/>
          <w:sz w:val="24"/>
          <w:szCs w:val="24"/>
        </w:rPr>
      </w:pPr>
      <w:r w:rsidRPr="000A35FC">
        <w:rPr>
          <w:rFonts w:ascii="Times New Roman" w:hAnsi="Times New Roman"/>
          <w:noProof/>
          <w:sz w:val="24"/>
          <w:szCs w:val="24"/>
        </w:rPr>
        <w:lastRenderedPageBreak/>
        <w:drawing>
          <wp:inline distT="0" distB="0" distL="0" distR="0" wp14:anchorId="041FB9BF" wp14:editId="50258A69">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38C402E" w14:textId="39CEFCB8" w:rsidR="00E705AB" w:rsidRPr="000A35FC" w:rsidRDefault="00666EC6" w:rsidP="000A35FC">
      <w:pPr>
        <w:pStyle w:val="Caption"/>
        <w:spacing w:line="360" w:lineRule="auto"/>
        <w:jc w:val="both"/>
        <w:rPr>
          <w:rFonts w:ascii="Times New Roman" w:hAnsi="Times New Roman"/>
          <w:sz w:val="24"/>
          <w:szCs w:val="24"/>
        </w:rPr>
      </w:pPr>
      <w:r w:rsidRPr="000A35FC">
        <w:rPr>
          <w:rFonts w:ascii="Times New Roman" w:hAnsi="Times New Roman"/>
          <w:sz w:val="24"/>
          <w:szCs w:val="24"/>
        </w:rPr>
        <w:t xml:space="preserve">Figure </w:t>
      </w:r>
      <w:r w:rsidRPr="000A35FC">
        <w:rPr>
          <w:rFonts w:ascii="Times New Roman" w:hAnsi="Times New Roman"/>
          <w:sz w:val="24"/>
          <w:szCs w:val="24"/>
        </w:rPr>
        <w:fldChar w:fldCharType="begin"/>
      </w:r>
      <w:r w:rsidRPr="000A35FC">
        <w:rPr>
          <w:rFonts w:ascii="Times New Roman" w:hAnsi="Times New Roman"/>
          <w:sz w:val="24"/>
          <w:szCs w:val="24"/>
        </w:rPr>
        <w:instrText xml:space="preserve"> SEQ Figure \* ARABIC </w:instrText>
      </w:r>
      <w:r w:rsidRPr="000A35FC">
        <w:rPr>
          <w:rFonts w:ascii="Times New Roman" w:hAnsi="Times New Roman"/>
          <w:sz w:val="24"/>
          <w:szCs w:val="24"/>
        </w:rPr>
        <w:fldChar w:fldCharType="separate"/>
      </w:r>
      <w:r w:rsidR="00C531F1" w:rsidRPr="000A35FC">
        <w:rPr>
          <w:rFonts w:ascii="Times New Roman" w:hAnsi="Times New Roman"/>
          <w:noProof/>
          <w:sz w:val="24"/>
          <w:szCs w:val="24"/>
        </w:rPr>
        <w:t>3</w:t>
      </w:r>
      <w:r w:rsidRPr="000A35FC">
        <w:rPr>
          <w:rFonts w:ascii="Times New Roman" w:hAnsi="Times New Roman"/>
          <w:sz w:val="24"/>
          <w:szCs w:val="24"/>
        </w:rPr>
        <w:fldChar w:fldCharType="end"/>
      </w:r>
      <w:r w:rsidRPr="000A35FC">
        <w:rPr>
          <w:rFonts w:ascii="Times New Roman" w:hAnsi="Times New Roman"/>
          <w:sz w:val="24"/>
          <w:szCs w:val="24"/>
        </w:rPr>
        <w:t>; Current Ratio</w:t>
      </w:r>
    </w:p>
    <w:p w14:paraId="5B0349A1" w14:textId="5B6DA5DB" w:rsidR="00AE150C" w:rsidRPr="000A35FC" w:rsidRDefault="00AE150C" w:rsidP="000A35FC">
      <w:pPr>
        <w:spacing w:line="360" w:lineRule="auto"/>
        <w:jc w:val="both"/>
        <w:rPr>
          <w:rFonts w:ascii="Times New Roman" w:hAnsi="Times New Roman"/>
          <w:sz w:val="24"/>
          <w:szCs w:val="24"/>
        </w:rPr>
      </w:pPr>
      <w:r w:rsidRPr="000A35FC">
        <w:rPr>
          <w:rFonts w:ascii="Times New Roman" w:hAnsi="Times New Roman"/>
          <w:sz w:val="24"/>
          <w:szCs w:val="24"/>
        </w:rPr>
        <w:t xml:space="preserve">While both companies have a rising leveraging </w:t>
      </w:r>
      <w:r w:rsidR="000A35FC" w:rsidRPr="000A35FC">
        <w:rPr>
          <w:rFonts w:ascii="Times New Roman" w:hAnsi="Times New Roman"/>
          <w:sz w:val="24"/>
          <w:szCs w:val="24"/>
        </w:rPr>
        <w:t>indications,</w:t>
      </w:r>
      <w:r w:rsidRPr="000A35FC">
        <w:rPr>
          <w:rFonts w:ascii="Times New Roman" w:hAnsi="Times New Roman"/>
          <w:sz w:val="24"/>
          <w:szCs w:val="24"/>
        </w:rPr>
        <w:t xml:space="preserve"> Lululemon is far much less leveraged with D/E </w:t>
      </w:r>
      <w:r w:rsidR="001A6F29" w:rsidRPr="000A35FC">
        <w:rPr>
          <w:rFonts w:ascii="Times New Roman" w:hAnsi="Times New Roman"/>
          <w:sz w:val="24"/>
          <w:szCs w:val="24"/>
        </w:rPr>
        <w:t>ratios</w:t>
      </w:r>
      <w:r w:rsidRPr="000A35FC">
        <w:rPr>
          <w:rFonts w:ascii="Times New Roman" w:hAnsi="Times New Roman"/>
          <w:sz w:val="24"/>
          <w:szCs w:val="24"/>
        </w:rPr>
        <w:t xml:space="preserve"> ranging from 0.22 (in 2017) and 0.44 (in 2019). The company largely uses internal </w:t>
      </w:r>
      <w:r w:rsidR="000A35FC" w:rsidRPr="000A35FC">
        <w:rPr>
          <w:rFonts w:ascii="Times New Roman" w:hAnsi="Times New Roman"/>
          <w:sz w:val="24"/>
          <w:szCs w:val="24"/>
        </w:rPr>
        <w:t>financing with</w:t>
      </w:r>
      <w:r w:rsidRPr="000A35FC">
        <w:rPr>
          <w:rFonts w:ascii="Times New Roman" w:hAnsi="Times New Roman"/>
          <w:sz w:val="24"/>
          <w:szCs w:val="24"/>
        </w:rPr>
        <w:t xml:space="preserve"> equity comprising a significant part of its financing, putting it to low </w:t>
      </w:r>
      <w:r w:rsidR="00D039AF" w:rsidRPr="000A35FC">
        <w:rPr>
          <w:rFonts w:ascii="Times New Roman" w:hAnsi="Times New Roman"/>
          <w:sz w:val="24"/>
          <w:szCs w:val="24"/>
        </w:rPr>
        <w:t xml:space="preserve">insolvency </w:t>
      </w:r>
      <w:r w:rsidR="00D039AF" w:rsidRPr="000A35FC">
        <w:rPr>
          <w:rFonts w:ascii="Times New Roman" w:hAnsi="Times New Roman"/>
          <w:i/>
          <w:sz w:val="24"/>
          <w:szCs w:val="24"/>
        </w:rPr>
        <w:t>risks</w:t>
      </w:r>
      <w:r w:rsidR="00D039AF" w:rsidRPr="000A35FC">
        <w:rPr>
          <w:rFonts w:ascii="Times New Roman" w:hAnsi="Times New Roman"/>
          <w:sz w:val="24"/>
          <w:szCs w:val="24"/>
        </w:rPr>
        <w:t xml:space="preserve"> and limited control of external financiers. In contrast, Nike’s D/E ratios has risen from 0.87 to 1.62 suggesting increasing reliance in leveraging</w:t>
      </w:r>
      <w:r w:rsidR="000B4B2F" w:rsidRPr="000A35FC">
        <w:rPr>
          <w:rFonts w:ascii="Times New Roman" w:hAnsi="Times New Roman"/>
          <w:sz w:val="24"/>
          <w:szCs w:val="24"/>
        </w:rPr>
        <w:t xml:space="preserve"> (figure below)</w:t>
      </w:r>
    </w:p>
    <w:p w14:paraId="34D9610C" w14:textId="496D32A1" w:rsidR="00AE150C" w:rsidRPr="000A35FC" w:rsidRDefault="00AE150C" w:rsidP="000A35FC">
      <w:pPr>
        <w:spacing w:line="360" w:lineRule="auto"/>
        <w:jc w:val="both"/>
        <w:rPr>
          <w:rFonts w:ascii="Times New Roman" w:hAnsi="Times New Roman"/>
          <w:sz w:val="24"/>
          <w:szCs w:val="24"/>
        </w:rPr>
      </w:pPr>
      <w:r w:rsidRPr="000A35FC">
        <w:rPr>
          <w:rFonts w:ascii="Times New Roman" w:hAnsi="Times New Roman"/>
          <w:noProof/>
          <w:sz w:val="24"/>
          <w:szCs w:val="24"/>
        </w:rPr>
        <w:drawing>
          <wp:inline distT="0" distB="0" distL="0" distR="0" wp14:anchorId="7D3C2945" wp14:editId="12AC0FEC">
            <wp:extent cx="4572000" cy="27432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686EFDC" w14:textId="65A79AA1" w:rsidR="00E705AB" w:rsidRPr="000A35FC" w:rsidRDefault="00E62D39" w:rsidP="000A35FC">
      <w:pPr>
        <w:spacing w:line="360" w:lineRule="auto"/>
        <w:jc w:val="both"/>
        <w:rPr>
          <w:rFonts w:ascii="Times New Roman" w:hAnsi="Times New Roman"/>
          <w:sz w:val="24"/>
          <w:szCs w:val="24"/>
        </w:rPr>
      </w:pPr>
      <w:r w:rsidRPr="000A35FC">
        <w:rPr>
          <w:rFonts w:ascii="Times New Roman" w:hAnsi="Times New Roman"/>
          <w:sz w:val="24"/>
          <w:szCs w:val="24"/>
        </w:rPr>
        <w:lastRenderedPageBreak/>
        <w:t xml:space="preserve">In relation to efficiency in utilizing assets to generate </w:t>
      </w:r>
      <w:r w:rsidR="00112D6D" w:rsidRPr="000A35FC">
        <w:rPr>
          <w:rFonts w:ascii="Times New Roman" w:hAnsi="Times New Roman"/>
          <w:sz w:val="24"/>
          <w:szCs w:val="24"/>
        </w:rPr>
        <w:t xml:space="preserve">revenues, both companies show strong efficiency, but Nike is more </w:t>
      </w:r>
      <w:proofErr w:type="gramStart"/>
      <w:r w:rsidR="00112D6D" w:rsidRPr="000A35FC">
        <w:rPr>
          <w:rFonts w:ascii="Times New Roman" w:hAnsi="Times New Roman"/>
          <w:sz w:val="24"/>
          <w:szCs w:val="24"/>
        </w:rPr>
        <w:t>efficient  as</w:t>
      </w:r>
      <w:proofErr w:type="gramEnd"/>
      <w:r w:rsidR="00112D6D" w:rsidRPr="000A35FC">
        <w:rPr>
          <w:rFonts w:ascii="Times New Roman" w:hAnsi="Times New Roman"/>
          <w:sz w:val="24"/>
          <w:szCs w:val="24"/>
        </w:rPr>
        <w:t xml:space="preserve"> it has asset turnover ratio (ATO) rising steadily from 0.87 in 2017 to 0.91 , much higher than </w:t>
      </w:r>
      <w:r w:rsidR="00517B66" w:rsidRPr="000A35FC">
        <w:rPr>
          <w:rFonts w:ascii="Times New Roman" w:hAnsi="Times New Roman"/>
          <w:sz w:val="24"/>
          <w:szCs w:val="24"/>
        </w:rPr>
        <w:t xml:space="preserve">the corresponding </w:t>
      </w:r>
      <w:r w:rsidR="00112D6D" w:rsidRPr="000A35FC">
        <w:rPr>
          <w:rFonts w:ascii="Times New Roman" w:hAnsi="Times New Roman"/>
          <w:sz w:val="24"/>
          <w:szCs w:val="24"/>
        </w:rPr>
        <w:t xml:space="preserve">Lululemon’s </w:t>
      </w:r>
      <w:r w:rsidR="00517B66" w:rsidRPr="000A35FC">
        <w:rPr>
          <w:rFonts w:ascii="Times New Roman" w:hAnsi="Times New Roman"/>
          <w:sz w:val="24"/>
          <w:szCs w:val="24"/>
        </w:rPr>
        <w:t xml:space="preserve"> values (figure below).</w:t>
      </w:r>
    </w:p>
    <w:p w14:paraId="0C132ED4" w14:textId="621E4A5F" w:rsidR="00E62D39" w:rsidRPr="000A35FC" w:rsidRDefault="00E62D39" w:rsidP="000A35FC">
      <w:pPr>
        <w:spacing w:line="360" w:lineRule="auto"/>
        <w:jc w:val="both"/>
        <w:rPr>
          <w:rFonts w:ascii="Times New Roman" w:hAnsi="Times New Roman"/>
          <w:noProof/>
          <w:sz w:val="24"/>
          <w:szCs w:val="24"/>
        </w:rPr>
      </w:pPr>
    </w:p>
    <w:p w14:paraId="3DDF53DB" w14:textId="6A5B0840" w:rsidR="00E62D39" w:rsidRPr="000A35FC" w:rsidRDefault="00E62D39" w:rsidP="000A35FC">
      <w:pPr>
        <w:spacing w:line="360" w:lineRule="auto"/>
        <w:jc w:val="both"/>
        <w:rPr>
          <w:rFonts w:ascii="Times New Roman" w:hAnsi="Times New Roman"/>
          <w:sz w:val="24"/>
          <w:szCs w:val="24"/>
        </w:rPr>
      </w:pPr>
      <w:r w:rsidRPr="000A35FC">
        <w:rPr>
          <w:rFonts w:ascii="Times New Roman" w:hAnsi="Times New Roman"/>
          <w:noProof/>
          <w:sz w:val="24"/>
          <w:szCs w:val="24"/>
        </w:rPr>
        <w:drawing>
          <wp:inline distT="0" distB="0" distL="0" distR="0" wp14:anchorId="5292E6DF" wp14:editId="68AFDDDD">
            <wp:extent cx="5715000" cy="2500313"/>
            <wp:effectExtent l="0" t="0" r="19050" b="1460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F4CB573" w14:textId="77777777" w:rsidR="00411B49" w:rsidRPr="000A35FC" w:rsidRDefault="00411B49" w:rsidP="000A35FC">
      <w:pPr>
        <w:spacing w:line="360" w:lineRule="auto"/>
        <w:jc w:val="both"/>
        <w:rPr>
          <w:rFonts w:ascii="Times New Roman" w:hAnsi="Times New Roman"/>
          <w:sz w:val="24"/>
          <w:szCs w:val="24"/>
        </w:rPr>
      </w:pPr>
    </w:p>
    <w:p w14:paraId="2CD503A8" w14:textId="45E3F85F" w:rsidR="004F3E06" w:rsidRPr="000A35FC" w:rsidRDefault="000A35FC" w:rsidP="000A35FC">
      <w:pPr>
        <w:spacing w:line="360" w:lineRule="auto"/>
        <w:jc w:val="both"/>
        <w:rPr>
          <w:rFonts w:ascii="Times New Roman" w:hAnsi="Times New Roman"/>
          <w:sz w:val="24"/>
          <w:szCs w:val="24"/>
        </w:rPr>
      </w:pPr>
      <w:r w:rsidRPr="000A35FC">
        <w:rPr>
          <w:rFonts w:ascii="Times New Roman" w:hAnsi="Times New Roman"/>
          <w:sz w:val="24"/>
          <w:szCs w:val="24"/>
        </w:rPr>
        <w:t>Overall, t</w:t>
      </w:r>
      <w:r w:rsidR="009D57B3" w:rsidRPr="000A35FC">
        <w:rPr>
          <w:rFonts w:ascii="Times New Roman" w:hAnsi="Times New Roman"/>
          <w:sz w:val="24"/>
          <w:szCs w:val="24"/>
        </w:rPr>
        <w:t xml:space="preserve">he two companies compete </w:t>
      </w:r>
      <w:proofErr w:type="spellStart"/>
      <w:r w:rsidR="009D57B3" w:rsidRPr="000A35FC">
        <w:rPr>
          <w:rFonts w:ascii="Times New Roman" w:hAnsi="Times New Roman"/>
          <w:sz w:val="24"/>
          <w:szCs w:val="24"/>
        </w:rPr>
        <w:t>favourably</w:t>
      </w:r>
      <w:proofErr w:type="spellEnd"/>
      <w:r w:rsidR="009D57B3" w:rsidRPr="000A35FC">
        <w:rPr>
          <w:rFonts w:ascii="Times New Roman" w:hAnsi="Times New Roman"/>
          <w:sz w:val="24"/>
          <w:szCs w:val="24"/>
        </w:rPr>
        <w:t xml:space="preserve"> in financial performance, more so in profitability.  </w:t>
      </w:r>
      <w:r w:rsidR="009550C8" w:rsidRPr="000A35FC">
        <w:rPr>
          <w:rFonts w:ascii="Times New Roman" w:hAnsi="Times New Roman"/>
          <w:sz w:val="24"/>
          <w:szCs w:val="24"/>
        </w:rPr>
        <w:t xml:space="preserve">Overall, Lululemon </w:t>
      </w:r>
      <w:r w:rsidR="00A43266" w:rsidRPr="000A35FC">
        <w:rPr>
          <w:rFonts w:ascii="Times New Roman" w:hAnsi="Times New Roman"/>
          <w:sz w:val="24"/>
          <w:szCs w:val="24"/>
        </w:rPr>
        <w:t>performs better than Nike in terms of profitability- as it has higher profit margin and return on assets. It also does better in liquidity management, given its higher current ratios compared</w:t>
      </w:r>
      <w:r w:rsidR="00DC6FBA" w:rsidRPr="000A35FC">
        <w:rPr>
          <w:rFonts w:ascii="Times New Roman" w:hAnsi="Times New Roman"/>
          <w:sz w:val="24"/>
          <w:szCs w:val="24"/>
        </w:rPr>
        <w:t xml:space="preserve"> to Nike</w:t>
      </w:r>
      <w:r w:rsidR="00DC56D3">
        <w:rPr>
          <w:rFonts w:ascii="Times New Roman" w:hAnsi="Times New Roman"/>
          <w:sz w:val="24"/>
          <w:szCs w:val="24"/>
        </w:rPr>
        <w:t xml:space="preserve">, and in </w:t>
      </w:r>
      <w:r w:rsidR="00DC6FBA" w:rsidRPr="000A35FC">
        <w:rPr>
          <w:rFonts w:ascii="Times New Roman" w:hAnsi="Times New Roman"/>
          <w:sz w:val="24"/>
          <w:szCs w:val="24"/>
        </w:rPr>
        <w:t xml:space="preserve">leveraging practices, as it has a low debt level relative to its equity (lower D/E ratio). </w:t>
      </w:r>
      <w:r w:rsidR="00541AAD" w:rsidRPr="000A35FC">
        <w:rPr>
          <w:rFonts w:ascii="Times New Roman" w:hAnsi="Times New Roman"/>
          <w:sz w:val="24"/>
          <w:szCs w:val="24"/>
        </w:rPr>
        <w:t xml:space="preserve">High leverage level on part of Nike is a concern as it exposes the company to greater control by external financiers in addition to increasing insolvency risks in the event of economic austerity.  Nike however gets tax benefit and also incurring lower cost of capital since there are no long-term payments attached to loans apart from repayment </w:t>
      </w:r>
      <w:proofErr w:type="gramStart"/>
      <w:r w:rsidR="00541AAD" w:rsidRPr="000A35FC">
        <w:rPr>
          <w:rFonts w:ascii="Times New Roman" w:hAnsi="Times New Roman"/>
          <w:sz w:val="24"/>
          <w:szCs w:val="24"/>
        </w:rPr>
        <w:t>of  interests</w:t>
      </w:r>
      <w:proofErr w:type="gramEnd"/>
      <w:r w:rsidR="00541AAD" w:rsidRPr="000A35FC">
        <w:rPr>
          <w:rFonts w:ascii="Times New Roman" w:hAnsi="Times New Roman"/>
          <w:sz w:val="24"/>
          <w:szCs w:val="24"/>
        </w:rPr>
        <w:t xml:space="preserve"> and the principal. Lululemon will incur higher cost of capital in the long term through dividend payments and taxation of equity. </w:t>
      </w:r>
      <w:r w:rsidR="00DC6FBA" w:rsidRPr="000A35FC">
        <w:rPr>
          <w:rFonts w:ascii="Times New Roman" w:hAnsi="Times New Roman"/>
          <w:sz w:val="24"/>
          <w:szCs w:val="24"/>
        </w:rPr>
        <w:t xml:space="preserve">On the other hand, Nike does better in terms of efficient use of assets for revenue generation </w:t>
      </w:r>
      <w:r w:rsidR="009D57B3" w:rsidRPr="000A35FC">
        <w:rPr>
          <w:rFonts w:ascii="Times New Roman" w:hAnsi="Times New Roman"/>
          <w:sz w:val="24"/>
          <w:szCs w:val="24"/>
        </w:rPr>
        <w:t>as it has better ATO than Lululemon.</w:t>
      </w:r>
    </w:p>
    <w:p w14:paraId="1333867E" w14:textId="3ABB4FEA" w:rsidR="00805CBF" w:rsidRPr="000A35FC" w:rsidRDefault="00805CBF" w:rsidP="000A35FC">
      <w:pPr>
        <w:spacing w:line="360" w:lineRule="auto"/>
        <w:jc w:val="both"/>
        <w:rPr>
          <w:rFonts w:ascii="Times New Roman" w:hAnsi="Times New Roman"/>
          <w:b/>
          <w:sz w:val="24"/>
          <w:szCs w:val="24"/>
        </w:rPr>
      </w:pPr>
      <w:r w:rsidRPr="000A35FC">
        <w:rPr>
          <w:rFonts w:ascii="Times New Roman" w:hAnsi="Times New Roman"/>
          <w:b/>
          <w:sz w:val="24"/>
          <w:szCs w:val="24"/>
        </w:rPr>
        <w:t xml:space="preserve">Diversity </w:t>
      </w:r>
    </w:p>
    <w:p w14:paraId="7A9245DF" w14:textId="348F4C71" w:rsidR="00292BD6" w:rsidRPr="000A35FC" w:rsidRDefault="004F3E06" w:rsidP="000A35FC">
      <w:pPr>
        <w:spacing w:line="360" w:lineRule="auto"/>
        <w:jc w:val="both"/>
        <w:rPr>
          <w:rFonts w:ascii="Times New Roman" w:hAnsi="Times New Roman"/>
          <w:sz w:val="24"/>
          <w:szCs w:val="24"/>
        </w:rPr>
      </w:pPr>
      <w:r w:rsidRPr="000A35FC">
        <w:rPr>
          <w:rFonts w:ascii="Times New Roman" w:hAnsi="Times New Roman"/>
          <w:sz w:val="24"/>
          <w:szCs w:val="24"/>
        </w:rPr>
        <w:t xml:space="preserve">Both companies commit to diversity. Nike has expressed, through its </w:t>
      </w:r>
      <w:r w:rsidR="00E30D98" w:rsidRPr="000A35FC">
        <w:rPr>
          <w:rFonts w:ascii="Times New Roman" w:hAnsi="Times New Roman"/>
          <w:sz w:val="24"/>
          <w:szCs w:val="24"/>
        </w:rPr>
        <w:t xml:space="preserve">corporate </w:t>
      </w:r>
      <w:r w:rsidRPr="000A35FC">
        <w:rPr>
          <w:rFonts w:ascii="Times New Roman" w:hAnsi="Times New Roman"/>
          <w:sz w:val="24"/>
          <w:szCs w:val="24"/>
        </w:rPr>
        <w:t xml:space="preserve">purpose </w:t>
      </w:r>
      <w:proofErr w:type="gramStart"/>
      <w:r w:rsidR="00495CB4" w:rsidRPr="000A35FC">
        <w:rPr>
          <w:rFonts w:ascii="Times New Roman" w:hAnsi="Times New Roman"/>
          <w:sz w:val="24"/>
          <w:szCs w:val="24"/>
        </w:rPr>
        <w:t>statement</w:t>
      </w:r>
      <w:r w:rsidRPr="000A35FC">
        <w:rPr>
          <w:rFonts w:ascii="Times New Roman" w:hAnsi="Times New Roman"/>
          <w:sz w:val="24"/>
          <w:szCs w:val="24"/>
        </w:rPr>
        <w:t xml:space="preserve"> ,</w:t>
      </w:r>
      <w:proofErr w:type="gramEnd"/>
      <w:r w:rsidRPr="000A35FC">
        <w:rPr>
          <w:rFonts w:ascii="Times New Roman" w:hAnsi="Times New Roman"/>
          <w:sz w:val="24"/>
          <w:szCs w:val="24"/>
        </w:rPr>
        <w:t xml:space="preserve"> a commitment to ensure diverse workforce , </w:t>
      </w:r>
      <w:r w:rsidR="008B646E" w:rsidRPr="000A35FC">
        <w:rPr>
          <w:rFonts w:ascii="Times New Roman" w:hAnsi="Times New Roman"/>
          <w:sz w:val="24"/>
          <w:szCs w:val="24"/>
        </w:rPr>
        <w:t xml:space="preserve">and breaking of </w:t>
      </w:r>
      <w:r w:rsidR="00495CB4" w:rsidRPr="000A35FC">
        <w:rPr>
          <w:rFonts w:ascii="Times New Roman" w:hAnsi="Times New Roman"/>
          <w:sz w:val="24"/>
          <w:szCs w:val="24"/>
        </w:rPr>
        <w:t>barriers to equal participation in athletics</w:t>
      </w:r>
      <w:r w:rsidR="008B646E" w:rsidRPr="000A35FC">
        <w:rPr>
          <w:rFonts w:ascii="Times New Roman" w:hAnsi="Times New Roman"/>
          <w:sz w:val="24"/>
          <w:szCs w:val="24"/>
        </w:rPr>
        <w:t xml:space="preserve"> both in the field and through its products to customers (Nike 2019).</w:t>
      </w:r>
      <w:r w:rsidR="00E30D98" w:rsidRPr="000A35FC">
        <w:rPr>
          <w:rFonts w:ascii="Times New Roman" w:hAnsi="Times New Roman"/>
          <w:sz w:val="24"/>
          <w:szCs w:val="24"/>
        </w:rPr>
        <w:t xml:space="preserve"> It practices diversity in its work force</w:t>
      </w:r>
      <w:r w:rsidR="00F81B08" w:rsidRPr="000A35FC">
        <w:rPr>
          <w:rFonts w:ascii="Times New Roman" w:hAnsi="Times New Roman"/>
          <w:sz w:val="24"/>
          <w:szCs w:val="24"/>
        </w:rPr>
        <w:t xml:space="preserve"> and the board</w:t>
      </w:r>
      <w:r w:rsidR="00E30D98" w:rsidRPr="000A35FC">
        <w:rPr>
          <w:rFonts w:ascii="Times New Roman" w:hAnsi="Times New Roman"/>
          <w:sz w:val="24"/>
          <w:szCs w:val="24"/>
        </w:rPr>
        <w:t>-</w:t>
      </w:r>
      <w:r w:rsidR="008B646E" w:rsidRPr="000A35FC">
        <w:rPr>
          <w:rFonts w:ascii="Times New Roman" w:hAnsi="Times New Roman"/>
          <w:sz w:val="24"/>
          <w:szCs w:val="24"/>
        </w:rPr>
        <w:t xml:space="preserve">19% of its vice </w:t>
      </w:r>
      <w:r w:rsidR="00C205CB" w:rsidRPr="000A35FC">
        <w:rPr>
          <w:rFonts w:ascii="Times New Roman" w:hAnsi="Times New Roman"/>
          <w:sz w:val="24"/>
          <w:szCs w:val="24"/>
        </w:rPr>
        <w:t>presidents</w:t>
      </w:r>
      <w:r w:rsidR="008B646E" w:rsidRPr="000A35FC">
        <w:rPr>
          <w:rFonts w:ascii="Times New Roman" w:hAnsi="Times New Roman"/>
          <w:sz w:val="24"/>
          <w:szCs w:val="24"/>
        </w:rPr>
        <w:t xml:space="preserve"> come from minority </w:t>
      </w:r>
      <w:r w:rsidR="008B646E" w:rsidRPr="000A35FC">
        <w:rPr>
          <w:rFonts w:ascii="Times New Roman" w:hAnsi="Times New Roman"/>
          <w:sz w:val="24"/>
          <w:szCs w:val="24"/>
        </w:rPr>
        <w:lastRenderedPageBreak/>
        <w:t>groups in the USA, and 36% of them are women (ensuring gender diversity)</w:t>
      </w:r>
      <w:r w:rsidR="00495CB4" w:rsidRPr="000A35FC">
        <w:rPr>
          <w:rFonts w:ascii="Times New Roman" w:hAnsi="Times New Roman"/>
          <w:sz w:val="24"/>
          <w:szCs w:val="24"/>
        </w:rPr>
        <w:t>.</w:t>
      </w:r>
      <w:r w:rsidR="00FA1E0E" w:rsidRPr="000A35FC">
        <w:rPr>
          <w:rFonts w:ascii="Times New Roman" w:hAnsi="Times New Roman"/>
          <w:sz w:val="24"/>
          <w:szCs w:val="24"/>
        </w:rPr>
        <w:t xml:space="preserve"> The </w:t>
      </w:r>
      <w:r w:rsidR="000D4C22" w:rsidRPr="000A35FC">
        <w:rPr>
          <w:rFonts w:ascii="Times New Roman" w:hAnsi="Times New Roman"/>
          <w:sz w:val="24"/>
          <w:szCs w:val="24"/>
        </w:rPr>
        <w:t>board</w:t>
      </w:r>
      <w:r w:rsidR="00FA1E0E" w:rsidRPr="000A35FC">
        <w:rPr>
          <w:rFonts w:ascii="Times New Roman" w:hAnsi="Times New Roman"/>
          <w:sz w:val="24"/>
          <w:szCs w:val="24"/>
        </w:rPr>
        <w:t xml:space="preserve"> specifically has a vice president in charge of diversity and inclusion (</w:t>
      </w:r>
      <w:r w:rsidR="00FA1E0E" w:rsidRPr="000A35FC">
        <w:rPr>
          <w:rFonts w:ascii="Times New Roman" w:hAnsi="Times New Roman"/>
          <w:color w:val="000000"/>
          <w:sz w:val="24"/>
          <w:szCs w:val="24"/>
          <w:shd w:val="clear" w:color="auto" w:fill="FFFFFF"/>
        </w:rPr>
        <w:t>Tamika Curry Smith)</w:t>
      </w:r>
      <w:r w:rsidR="00495CB4" w:rsidRPr="000A35FC">
        <w:rPr>
          <w:rFonts w:ascii="Times New Roman" w:hAnsi="Times New Roman"/>
          <w:sz w:val="24"/>
          <w:szCs w:val="24"/>
        </w:rPr>
        <w:t xml:space="preserve"> </w:t>
      </w:r>
      <w:r w:rsidR="000D4C22" w:rsidRPr="000A35FC">
        <w:rPr>
          <w:rFonts w:ascii="Times New Roman" w:hAnsi="Times New Roman"/>
          <w:sz w:val="24"/>
          <w:szCs w:val="24"/>
        </w:rPr>
        <w:t xml:space="preserve">(Black Enterprise 2018). </w:t>
      </w:r>
      <w:r w:rsidR="00C205CB" w:rsidRPr="000A35FC">
        <w:rPr>
          <w:rFonts w:ascii="Times New Roman" w:hAnsi="Times New Roman"/>
          <w:sz w:val="24"/>
          <w:szCs w:val="24"/>
        </w:rPr>
        <w:t xml:space="preserve">It </w:t>
      </w:r>
      <w:proofErr w:type="gramStart"/>
      <w:r w:rsidR="00F81B08" w:rsidRPr="000A35FC">
        <w:rPr>
          <w:rFonts w:ascii="Times New Roman" w:hAnsi="Times New Roman"/>
          <w:sz w:val="24"/>
          <w:szCs w:val="24"/>
        </w:rPr>
        <w:t>ensure</w:t>
      </w:r>
      <w:proofErr w:type="gramEnd"/>
      <w:r w:rsidR="00C205CB" w:rsidRPr="000A35FC">
        <w:rPr>
          <w:rFonts w:ascii="Times New Roman" w:hAnsi="Times New Roman"/>
          <w:sz w:val="24"/>
          <w:szCs w:val="24"/>
        </w:rPr>
        <w:t xml:space="preserve"> </w:t>
      </w:r>
      <w:r w:rsidR="00F81B08" w:rsidRPr="000A35FC">
        <w:rPr>
          <w:rFonts w:ascii="Times New Roman" w:hAnsi="Times New Roman"/>
          <w:sz w:val="24"/>
          <w:szCs w:val="24"/>
        </w:rPr>
        <w:t>global</w:t>
      </w:r>
      <w:r w:rsidR="00C205CB" w:rsidRPr="000A35FC">
        <w:rPr>
          <w:rFonts w:ascii="Times New Roman" w:hAnsi="Times New Roman"/>
          <w:sz w:val="24"/>
          <w:szCs w:val="24"/>
        </w:rPr>
        <w:t xml:space="preserve"> supply chain to promote access to its products</w:t>
      </w:r>
      <w:r w:rsidR="00F81B08" w:rsidRPr="000A35FC">
        <w:rPr>
          <w:rFonts w:ascii="Times New Roman" w:hAnsi="Times New Roman"/>
          <w:sz w:val="24"/>
          <w:szCs w:val="24"/>
        </w:rPr>
        <w:t xml:space="preserve"> by diverse customers</w:t>
      </w:r>
      <w:r w:rsidR="00C205CB" w:rsidRPr="000A35FC">
        <w:rPr>
          <w:rFonts w:ascii="Times New Roman" w:hAnsi="Times New Roman"/>
          <w:sz w:val="24"/>
          <w:szCs w:val="24"/>
        </w:rPr>
        <w:t>.</w:t>
      </w:r>
      <w:r w:rsidR="001053FA" w:rsidRPr="000A35FC">
        <w:rPr>
          <w:rFonts w:ascii="Times New Roman" w:hAnsi="Times New Roman"/>
          <w:sz w:val="24"/>
          <w:szCs w:val="24"/>
        </w:rPr>
        <w:t xml:space="preserve"> Lululemon’s commitment to diversity largely targets customers. Recently, it started </w:t>
      </w:r>
      <w:proofErr w:type="spellStart"/>
      <w:r w:rsidR="001053FA" w:rsidRPr="000A35FC">
        <w:rPr>
          <w:rFonts w:ascii="Times New Roman" w:hAnsi="Times New Roman"/>
          <w:sz w:val="24"/>
          <w:szCs w:val="24"/>
        </w:rPr>
        <w:t>campains</w:t>
      </w:r>
      <w:proofErr w:type="spellEnd"/>
      <w:r w:rsidR="001053FA" w:rsidRPr="000A35FC">
        <w:rPr>
          <w:rFonts w:ascii="Times New Roman" w:hAnsi="Times New Roman"/>
          <w:sz w:val="24"/>
          <w:szCs w:val="24"/>
        </w:rPr>
        <w:t xml:space="preserve"> to produce at</w:t>
      </w:r>
      <w:r w:rsidR="001011B0" w:rsidRPr="000A35FC">
        <w:rPr>
          <w:rFonts w:ascii="Times New Roman" w:hAnsi="Times New Roman"/>
          <w:sz w:val="24"/>
          <w:szCs w:val="24"/>
        </w:rPr>
        <w:t>hletic shoes for all foot sizes under “More than Numbers Campaigns” (Dunne, 201</w:t>
      </w:r>
      <w:r w:rsidR="00805CBF" w:rsidRPr="000A35FC">
        <w:rPr>
          <w:rFonts w:ascii="Times New Roman" w:hAnsi="Times New Roman"/>
          <w:sz w:val="24"/>
          <w:szCs w:val="24"/>
        </w:rPr>
        <w:t>8</w:t>
      </w:r>
      <w:r w:rsidR="001011B0" w:rsidRPr="000A35FC">
        <w:rPr>
          <w:rFonts w:ascii="Times New Roman" w:hAnsi="Times New Roman"/>
          <w:sz w:val="24"/>
          <w:szCs w:val="24"/>
        </w:rPr>
        <w:t>).</w:t>
      </w:r>
      <w:r w:rsidR="00292BD6" w:rsidRPr="000A35FC">
        <w:rPr>
          <w:rFonts w:ascii="Times New Roman" w:hAnsi="Times New Roman"/>
          <w:sz w:val="24"/>
          <w:szCs w:val="24"/>
        </w:rPr>
        <w:t xml:space="preserve"> Like </w:t>
      </w:r>
      <w:proofErr w:type="spellStart"/>
      <w:proofErr w:type="gramStart"/>
      <w:r w:rsidR="00292BD6" w:rsidRPr="000A35FC">
        <w:rPr>
          <w:rFonts w:ascii="Times New Roman" w:hAnsi="Times New Roman"/>
          <w:sz w:val="24"/>
          <w:szCs w:val="24"/>
        </w:rPr>
        <w:t>Nike,Lululemon</w:t>
      </w:r>
      <w:proofErr w:type="spellEnd"/>
      <w:proofErr w:type="gramEnd"/>
      <w:r w:rsidR="00292BD6" w:rsidRPr="000A35FC">
        <w:rPr>
          <w:rFonts w:ascii="Times New Roman" w:hAnsi="Times New Roman"/>
          <w:sz w:val="24"/>
          <w:szCs w:val="24"/>
        </w:rPr>
        <w:t xml:space="preserve"> has diverse board from different background and gender</w:t>
      </w:r>
      <w:r w:rsidR="00805CBF" w:rsidRPr="000A35FC">
        <w:rPr>
          <w:rFonts w:ascii="Times New Roman" w:hAnsi="Times New Roman"/>
          <w:sz w:val="24"/>
          <w:szCs w:val="24"/>
        </w:rPr>
        <w:t xml:space="preserve"> (Deep Dive, 2018)</w:t>
      </w:r>
      <w:r w:rsidR="00292BD6" w:rsidRPr="000A35FC">
        <w:rPr>
          <w:rFonts w:ascii="Times New Roman" w:hAnsi="Times New Roman"/>
          <w:sz w:val="24"/>
          <w:szCs w:val="24"/>
        </w:rPr>
        <w:t xml:space="preserve">. Again, just as Nike Lululemon commit to equal pay for men and women. </w:t>
      </w:r>
    </w:p>
    <w:p w14:paraId="52F1C0D9" w14:textId="77777777" w:rsidR="00805CBF" w:rsidRPr="000A35FC" w:rsidRDefault="00805CBF" w:rsidP="000A35FC">
      <w:pPr>
        <w:spacing w:line="360" w:lineRule="auto"/>
        <w:jc w:val="both"/>
        <w:rPr>
          <w:rFonts w:ascii="Times New Roman" w:hAnsi="Times New Roman"/>
          <w:sz w:val="24"/>
          <w:szCs w:val="24"/>
        </w:rPr>
      </w:pPr>
    </w:p>
    <w:p w14:paraId="1F802C63" w14:textId="77777777" w:rsidR="00805CBF" w:rsidRDefault="00805CBF" w:rsidP="000A35FC">
      <w:pPr>
        <w:spacing w:line="360" w:lineRule="auto"/>
        <w:jc w:val="both"/>
        <w:rPr>
          <w:rFonts w:ascii="Times New Roman" w:hAnsi="Times New Roman"/>
          <w:sz w:val="24"/>
          <w:szCs w:val="24"/>
        </w:rPr>
      </w:pPr>
    </w:p>
    <w:p w14:paraId="54ED5980" w14:textId="77777777" w:rsidR="00DC56D3" w:rsidRDefault="00DC56D3" w:rsidP="000A35FC">
      <w:pPr>
        <w:spacing w:line="360" w:lineRule="auto"/>
        <w:jc w:val="both"/>
        <w:rPr>
          <w:rFonts w:ascii="Times New Roman" w:hAnsi="Times New Roman"/>
          <w:sz w:val="24"/>
          <w:szCs w:val="24"/>
        </w:rPr>
      </w:pPr>
    </w:p>
    <w:p w14:paraId="308F6728" w14:textId="77777777" w:rsidR="00DC56D3" w:rsidRDefault="00DC56D3" w:rsidP="000A35FC">
      <w:pPr>
        <w:spacing w:line="360" w:lineRule="auto"/>
        <w:jc w:val="both"/>
        <w:rPr>
          <w:rFonts w:ascii="Times New Roman" w:hAnsi="Times New Roman"/>
          <w:sz w:val="24"/>
          <w:szCs w:val="24"/>
        </w:rPr>
      </w:pPr>
    </w:p>
    <w:p w14:paraId="08753357" w14:textId="77777777" w:rsidR="00DC56D3" w:rsidRDefault="00DC56D3" w:rsidP="000A35FC">
      <w:pPr>
        <w:spacing w:line="360" w:lineRule="auto"/>
        <w:jc w:val="both"/>
        <w:rPr>
          <w:rFonts w:ascii="Times New Roman" w:hAnsi="Times New Roman"/>
          <w:sz w:val="24"/>
          <w:szCs w:val="24"/>
        </w:rPr>
      </w:pPr>
    </w:p>
    <w:p w14:paraId="133F40DD" w14:textId="77777777" w:rsidR="00DC56D3" w:rsidRDefault="00DC56D3" w:rsidP="000A35FC">
      <w:pPr>
        <w:spacing w:line="360" w:lineRule="auto"/>
        <w:jc w:val="both"/>
        <w:rPr>
          <w:rFonts w:ascii="Times New Roman" w:hAnsi="Times New Roman"/>
          <w:sz w:val="24"/>
          <w:szCs w:val="24"/>
        </w:rPr>
      </w:pPr>
    </w:p>
    <w:p w14:paraId="7CA810DC" w14:textId="77777777" w:rsidR="00DC56D3" w:rsidRDefault="00DC56D3" w:rsidP="000A35FC">
      <w:pPr>
        <w:spacing w:line="360" w:lineRule="auto"/>
        <w:jc w:val="both"/>
        <w:rPr>
          <w:rFonts w:ascii="Times New Roman" w:hAnsi="Times New Roman"/>
          <w:sz w:val="24"/>
          <w:szCs w:val="24"/>
        </w:rPr>
      </w:pPr>
    </w:p>
    <w:p w14:paraId="569BB910" w14:textId="77777777" w:rsidR="00DC56D3" w:rsidRDefault="00DC56D3" w:rsidP="000A35FC">
      <w:pPr>
        <w:spacing w:line="360" w:lineRule="auto"/>
        <w:jc w:val="both"/>
        <w:rPr>
          <w:rFonts w:ascii="Times New Roman" w:hAnsi="Times New Roman"/>
          <w:sz w:val="24"/>
          <w:szCs w:val="24"/>
        </w:rPr>
      </w:pPr>
    </w:p>
    <w:p w14:paraId="2F177F4B" w14:textId="77777777" w:rsidR="00DC56D3" w:rsidRDefault="00DC56D3" w:rsidP="000A35FC">
      <w:pPr>
        <w:spacing w:line="360" w:lineRule="auto"/>
        <w:jc w:val="both"/>
        <w:rPr>
          <w:rFonts w:ascii="Times New Roman" w:hAnsi="Times New Roman"/>
          <w:sz w:val="24"/>
          <w:szCs w:val="24"/>
        </w:rPr>
      </w:pPr>
    </w:p>
    <w:p w14:paraId="337B29FA" w14:textId="77777777" w:rsidR="00DC56D3" w:rsidRDefault="00DC56D3" w:rsidP="000A35FC">
      <w:pPr>
        <w:spacing w:line="360" w:lineRule="auto"/>
        <w:jc w:val="both"/>
        <w:rPr>
          <w:rFonts w:ascii="Times New Roman" w:hAnsi="Times New Roman"/>
          <w:sz w:val="24"/>
          <w:szCs w:val="24"/>
        </w:rPr>
      </w:pPr>
    </w:p>
    <w:p w14:paraId="17062B79" w14:textId="77777777" w:rsidR="00DC56D3" w:rsidRDefault="00DC56D3" w:rsidP="000A35FC">
      <w:pPr>
        <w:spacing w:line="360" w:lineRule="auto"/>
        <w:jc w:val="both"/>
        <w:rPr>
          <w:rFonts w:ascii="Times New Roman" w:hAnsi="Times New Roman"/>
          <w:sz w:val="24"/>
          <w:szCs w:val="24"/>
        </w:rPr>
      </w:pPr>
    </w:p>
    <w:p w14:paraId="62BE77A7" w14:textId="77777777" w:rsidR="00DC56D3" w:rsidRDefault="00DC56D3" w:rsidP="000A35FC">
      <w:pPr>
        <w:spacing w:line="360" w:lineRule="auto"/>
        <w:jc w:val="both"/>
        <w:rPr>
          <w:rFonts w:ascii="Times New Roman" w:hAnsi="Times New Roman"/>
          <w:sz w:val="24"/>
          <w:szCs w:val="24"/>
        </w:rPr>
      </w:pPr>
    </w:p>
    <w:p w14:paraId="4001326F" w14:textId="77777777" w:rsidR="00DC56D3" w:rsidRDefault="00DC56D3" w:rsidP="000A35FC">
      <w:pPr>
        <w:spacing w:line="360" w:lineRule="auto"/>
        <w:jc w:val="both"/>
        <w:rPr>
          <w:rFonts w:ascii="Times New Roman" w:hAnsi="Times New Roman"/>
          <w:sz w:val="24"/>
          <w:szCs w:val="24"/>
        </w:rPr>
      </w:pPr>
    </w:p>
    <w:p w14:paraId="08F8B454" w14:textId="77777777" w:rsidR="00DC56D3" w:rsidRDefault="00DC56D3" w:rsidP="000A35FC">
      <w:pPr>
        <w:spacing w:line="360" w:lineRule="auto"/>
        <w:jc w:val="both"/>
        <w:rPr>
          <w:rFonts w:ascii="Times New Roman" w:hAnsi="Times New Roman"/>
          <w:sz w:val="24"/>
          <w:szCs w:val="24"/>
        </w:rPr>
      </w:pPr>
    </w:p>
    <w:p w14:paraId="482AB27D" w14:textId="77777777" w:rsidR="00DC56D3" w:rsidRDefault="00DC56D3" w:rsidP="000A35FC">
      <w:pPr>
        <w:spacing w:line="360" w:lineRule="auto"/>
        <w:jc w:val="both"/>
        <w:rPr>
          <w:rFonts w:ascii="Times New Roman" w:hAnsi="Times New Roman"/>
          <w:sz w:val="24"/>
          <w:szCs w:val="24"/>
        </w:rPr>
      </w:pPr>
    </w:p>
    <w:p w14:paraId="290E3330" w14:textId="77777777" w:rsidR="00DC56D3" w:rsidRDefault="00DC56D3" w:rsidP="000A35FC">
      <w:pPr>
        <w:spacing w:line="360" w:lineRule="auto"/>
        <w:jc w:val="both"/>
        <w:rPr>
          <w:rFonts w:ascii="Times New Roman" w:hAnsi="Times New Roman"/>
          <w:sz w:val="24"/>
          <w:szCs w:val="24"/>
        </w:rPr>
      </w:pPr>
    </w:p>
    <w:p w14:paraId="20CE80BF" w14:textId="77777777" w:rsidR="00DC56D3" w:rsidRDefault="00DC56D3" w:rsidP="000A35FC">
      <w:pPr>
        <w:spacing w:line="360" w:lineRule="auto"/>
        <w:jc w:val="both"/>
        <w:rPr>
          <w:rFonts w:ascii="Times New Roman" w:hAnsi="Times New Roman"/>
          <w:sz w:val="24"/>
          <w:szCs w:val="24"/>
        </w:rPr>
      </w:pPr>
    </w:p>
    <w:p w14:paraId="2D2DDDBB" w14:textId="77777777" w:rsidR="00DC56D3" w:rsidRDefault="00DC56D3" w:rsidP="000A35FC">
      <w:pPr>
        <w:spacing w:line="360" w:lineRule="auto"/>
        <w:jc w:val="both"/>
        <w:rPr>
          <w:rFonts w:ascii="Times New Roman" w:hAnsi="Times New Roman"/>
          <w:sz w:val="24"/>
          <w:szCs w:val="24"/>
        </w:rPr>
      </w:pPr>
    </w:p>
    <w:p w14:paraId="53A00734" w14:textId="77777777" w:rsidR="00DC56D3" w:rsidRDefault="00DC56D3" w:rsidP="000A35FC">
      <w:pPr>
        <w:spacing w:line="360" w:lineRule="auto"/>
        <w:jc w:val="both"/>
        <w:rPr>
          <w:rFonts w:ascii="Times New Roman" w:hAnsi="Times New Roman"/>
          <w:sz w:val="24"/>
          <w:szCs w:val="24"/>
        </w:rPr>
      </w:pPr>
    </w:p>
    <w:p w14:paraId="3D413F8A" w14:textId="77777777" w:rsidR="00DC56D3" w:rsidRDefault="00DC56D3" w:rsidP="000A35FC">
      <w:pPr>
        <w:spacing w:line="360" w:lineRule="auto"/>
        <w:jc w:val="both"/>
        <w:rPr>
          <w:rFonts w:ascii="Times New Roman" w:hAnsi="Times New Roman"/>
          <w:sz w:val="24"/>
          <w:szCs w:val="24"/>
        </w:rPr>
      </w:pPr>
    </w:p>
    <w:p w14:paraId="48C45D09" w14:textId="77777777" w:rsidR="00DC56D3" w:rsidRDefault="00DC56D3" w:rsidP="000A35FC">
      <w:pPr>
        <w:spacing w:line="360" w:lineRule="auto"/>
        <w:jc w:val="both"/>
        <w:rPr>
          <w:rFonts w:ascii="Times New Roman" w:hAnsi="Times New Roman"/>
          <w:sz w:val="24"/>
          <w:szCs w:val="24"/>
        </w:rPr>
      </w:pPr>
    </w:p>
    <w:p w14:paraId="38D07CE0" w14:textId="77777777" w:rsidR="001A6F29" w:rsidRPr="000A35FC" w:rsidRDefault="001A6F29" w:rsidP="000A35FC">
      <w:pPr>
        <w:spacing w:line="360" w:lineRule="auto"/>
        <w:jc w:val="both"/>
        <w:rPr>
          <w:rFonts w:ascii="Times New Roman" w:hAnsi="Times New Roman"/>
          <w:sz w:val="24"/>
          <w:szCs w:val="24"/>
        </w:rPr>
      </w:pPr>
    </w:p>
    <w:p w14:paraId="62B55912" w14:textId="27E9F1C8" w:rsidR="00805CBF" w:rsidRPr="000A35FC" w:rsidRDefault="00805CBF" w:rsidP="000A35FC">
      <w:pPr>
        <w:spacing w:line="360" w:lineRule="auto"/>
        <w:jc w:val="both"/>
        <w:rPr>
          <w:rFonts w:ascii="Times New Roman" w:hAnsi="Times New Roman"/>
          <w:sz w:val="24"/>
          <w:szCs w:val="24"/>
        </w:rPr>
      </w:pPr>
      <w:r w:rsidRPr="000A35FC">
        <w:rPr>
          <w:rFonts w:ascii="Times New Roman" w:hAnsi="Times New Roman"/>
          <w:sz w:val="24"/>
          <w:szCs w:val="24"/>
        </w:rPr>
        <w:lastRenderedPageBreak/>
        <w:t>References</w:t>
      </w:r>
    </w:p>
    <w:p w14:paraId="766D41A0" w14:textId="08E61768" w:rsidR="00805CBF" w:rsidRPr="000A35FC" w:rsidRDefault="00805CBF" w:rsidP="000A35FC">
      <w:pPr>
        <w:spacing w:line="360" w:lineRule="auto"/>
        <w:ind w:left="720" w:hanging="720"/>
        <w:jc w:val="both"/>
        <w:rPr>
          <w:rFonts w:ascii="Times New Roman" w:hAnsi="Times New Roman"/>
          <w:sz w:val="24"/>
          <w:szCs w:val="24"/>
        </w:rPr>
      </w:pPr>
      <w:r w:rsidRPr="000A35FC">
        <w:rPr>
          <w:rFonts w:ascii="Times New Roman" w:hAnsi="Times New Roman"/>
          <w:sz w:val="24"/>
          <w:szCs w:val="24"/>
        </w:rPr>
        <w:t xml:space="preserve">Black Enterprise (2018 Dec 6). </w:t>
      </w:r>
      <w:r w:rsidR="00E92E89" w:rsidRPr="00E92E89">
        <w:rPr>
          <w:rFonts w:ascii="Times New Roman" w:hAnsi="Times New Roman"/>
          <w:i/>
          <w:sz w:val="24"/>
          <w:szCs w:val="24"/>
        </w:rPr>
        <w:t>Meet Nike’s New Diversity and Inclusion Executive</w:t>
      </w:r>
      <w:r w:rsidRPr="000A35FC">
        <w:rPr>
          <w:rFonts w:ascii="Times New Roman" w:hAnsi="Times New Roman"/>
          <w:sz w:val="24"/>
          <w:szCs w:val="24"/>
        </w:rPr>
        <w:t>. Retrieved frohttps://www.blackenterprise.com/nike-new-diversity-and-inclusion-vp/</w:t>
      </w:r>
    </w:p>
    <w:p w14:paraId="587B978D" w14:textId="410FF1D0" w:rsidR="00805CBF" w:rsidRPr="000A35FC" w:rsidRDefault="00805CBF" w:rsidP="000A35FC">
      <w:pPr>
        <w:spacing w:line="360" w:lineRule="auto"/>
        <w:ind w:left="720" w:hanging="720"/>
        <w:jc w:val="both"/>
        <w:rPr>
          <w:rFonts w:ascii="Times New Roman" w:hAnsi="Times New Roman"/>
          <w:sz w:val="24"/>
          <w:szCs w:val="24"/>
        </w:rPr>
      </w:pPr>
      <w:r w:rsidRPr="000A35FC">
        <w:rPr>
          <w:rFonts w:ascii="Times New Roman" w:hAnsi="Times New Roman"/>
          <w:sz w:val="24"/>
          <w:szCs w:val="24"/>
        </w:rPr>
        <w:t xml:space="preserve">Deep Dive 92018). </w:t>
      </w:r>
      <w:r w:rsidRPr="00E92E89">
        <w:rPr>
          <w:rFonts w:ascii="Times New Roman" w:hAnsi="Times New Roman"/>
          <w:i/>
          <w:sz w:val="24"/>
          <w:szCs w:val="24"/>
        </w:rPr>
        <w:t xml:space="preserve">Does Lululemon need more than a new </w:t>
      </w:r>
      <w:proofErr w:type="gramStart"/>
      <w:r w:rsidRPr="00E92E89">
        <w:rPr>
          <w:rFonts w:ascii="Times New Roman" w:hAnsi="Times New Roman"/>
          <w:i/>
          <w:sz w:val="24"/>
          <w:szCs w:val="24"/>
        </w:rPr>
        <w:t>CEO</w:t>
      </w:r>
      <w:r w:rsidRPr="000A35FC">
        <w:rPr>
          <w:rFonts w:ascii="Times New Roman" w:hAnsi="Times New Roman"/>
          <w:sz w:val="24"/>
          <w:szCs w:val="24"/>
        </w:rPr>
        <w:t>?.</w:t>
      </w:r>
      <w:proofErr w:type="gramEnd"/>
      <w:r w:rsidRPr="000A35FC">
        <w:rPr>
          <w:rFonts w:ascii="Times New Roman" w:hAnsi="Times New Roman"/>
          <w:sz w:val="24"/>
          <w:szCs w:val="24"/>
        </w:rPr>
        <w:t xml:space="preserve"> </w:t>
      </w:r>
      <w:r w:rsidR="00E92E89" w:rsidRPr="000A35FC">
        <w:rPr>
          <w:rFonts w:ascii="Times New Roman" w:hAnsi="Times New Roman"/>
          <w:sz w:val="24"/>
          <w:szCs w:val="24"/>
        </w:rPr>
        <w:t>Retrieved</w:t>
      </w:r>
      <w:r w:rsidRPr="000A35FC">
        <w:rPr>
          <w:rFonts w:ascii="Times New Roman" w:hAnsi="Times New Roman"/>
          <w:sz w:val="24"/>
          <w:szCs w:val="24"/>
        </w:rPr>
        <w:t xml:space="preserve"> FROMhttps://www.retaildive.com/news/does-lululemon-need-more-than-a-new-ceo/516801/   </w:t>
      </w:r>
    </w:p>
    <w:p w14:paraId="1871E2CD" w14:textId="77777777" w:rsidR="00805CBF" w:rsidRPr="000A35FC" w:rsidRDefault="00805CBF" w:rsidP="000A35FC">
      <w:pPr>
        <w:spacing w:line="360" w:lineRule="auto"/>
        <w:ind w:left="720" w:hanging="720"/>
        <w:jc w:val="both"/>
        <w:rPr>
          <w:rFonts w:ascii="Times New Roman" w:hAnsi="Times New Roman"/>
          <w:sz w:val="24"/>
          <w:szCs w:val="24"/>
        </w:rPr>
      </w:pPr>
      <w:r w:rsidRPr="000A35FC">
        <w:rPr>
          <w:rFonts w:ascii="Times New Roman" w:hAnsi="Times New Roman"/>
          <w:sz w:val="24"/>
          <w:szCs w:val="24"/>
        </w:rPr>
        <w:t xml:space="preserve">Dunne, M. (2019). </w:t>
      </w:r>
      <w:r w:rsidRPr="00DC56D3">
        <w:rPr>
          <w:rFonts w:ascii="Times New Roman" w:hAnsi="Times New Roman"/>
          <w:i/>
          <w:sz w:val="24"/>
          <w:szCs w:val="24"/>
        </w:rPr>
        <w:t>Lululemon says namaste to body positivity</w:t>
      </w:r>
      <w:r w:rsidRPr="000A35FC">
        <w:rPr>
          <w:rFonts w:ascii="Times New Roman" w:hAnsi="Times New Roman"/>
          <w:sz w:val="24"/>
          <w:szCs w:val="24"/>
        </w:rPr>
        <w:t>. Retrieved from stimulantonline.ca/2019/04/24/lululemon-says-namaste-to-body-positivity/</w:t>
      </w:r>
    </w:p>
    <w:p w14:paraId="64169F7F" w14:textId="77777777" w:rsidR="00805CBF" w:rsidRPr="000A35FC" w:rsidRDefault="00805CBF" w:rsidP="000A35FC">
      <w:pPr>
        <w:spacing w:line="360" w:lineRule="auto"/>
        <w:ind w:left="720" w:hanging="720"/>
        <w:jc w:val="both"/>
        <w:rPr>
          <w:rFonts w:ascii="Times New Roman" w:hAnsi="Times New Roman"/>
          <w:sz w:val="24"/>
          <w:szCs w:val="24"/>
        </w:rPr>
      </w:pPr>
      <w:r w:rsidRPr="000A35FC">
        <w:rPr>
          <w:rFonts w:ascii="Times New Roman" w:hAnsi="Times New Roman"/>
          <w:sz w:val="24"/>
          <w:szCs w:val="24"/>
        </w:rPr>
        <w:t xml:space="preserve">Nike (2019). </w:t>
      </w:r>
      <w:r w:rsidRPr="00DC56D3">
        <w:rPr>
          <w:rFonts w:ascii="Times New Roman" w:hAnsi="Times New Roman"/>
          <w:i/>
          <w:sz w:val="24"/>
          <w:szCs w:val="24"/>
        </w:rPr>
        <w:t>Purpose</w:t>
      </w:r>
      <w:r w:rsidRPr="000A35FC">
        <w:rPr>
          <w:rFonts w:ascii="Times New Roman" w:hAnsi="Times New Roman"/>
          <w:sz w:val="24"/>
          <w:szCs w:val="24"/>
        </w:rPr>
        <w:t xml:space="preserve">. Retrieved from </w:t>
      </w:r>
      <w:hyperlink r:id="rId12" w:history="1">
        <w:r w:rsidRPr="000A35FC">
          <w:rPr>
            <w:rStyle w:val="Hyperlink"/>
            <w:rFonts w:ascii="Times New Roman" w:hAnsi="Times New Roman"/>
            <w:sz w:val="24"/>
            <w:szCs w:val="24"/>
          </w:rPr>
          <w:t>https://purpose.nike.com/standing-up-for-equality</w:t>
        </w:r>
      </w:hyperlink>
    </w:p>
    <w:p w14:paraId="5A93A5D8" w14:textId="77777777" w:rsidR="0083126D" w:rsidRPr="000A35FC" w:rsidRDefault="0083126D" w:rsidP="000A35FC">
      <w:pPr>
        <w:spacing w:line="360" w:lineRule="auto"/>
        <w:jc w:val="both"/>
        <w:rPr>
          <w:rFonts w:ascii="Times New Roman" w:hAnsi="Times New Roman"/>
          <w:b/>
          <w:sz w:val="24"/>
          <w:szCs w:val="24"/>
        </w:rPr>
      </w:pPr>
    </w:p>
    <w:p w14:paraId="3E0022E7" w14:textId="77777777" w:rsidR="005D5743" w:rsidRPr="000A35FC" w:rsidRDefault="005D5743" w:rsidP="000A35FC">
      <w:pPr>
        <w:spacing w:line="360" w:lineRule="auto"/>
        <w:jc w:val="both"/>
        <w:rPr>
          <w:rFonts w:ascii="Times New Roman" w:hAnsi="Times New Roman"/>
          <w:sz w:val="24"/>
          <w:szCs w:val="24"/>
        </w:rPr>
      </w:pPr>
    </w:p>
    <w:sectPr w:rsidR="005D5743" w:rsidRPr="000A35FC" w:rsidSect="002B1148">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A6AF8" w14:textId="77777777" w:rsidR="008052BE" w:rsidRDefault="008052BE" w:rsidP="00D719CD">
      <w:r>
        <w:separator/>
      </w:r>
    </w:p>
  </w:endnote>
  <w:endnote w:type="continuationSeparator" w:id="0">
    <w:p w14:paraId="142A7B34" w14:textId="77777777" w:rsidR="008052BE" w:rsidRDefault="008052BE" w:rsidP="00D71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6A91FD" w14:textId="77777777" w:rsidR="008052BE" w:rsidRDefault="008052BE" w:rsidP="00D719CD">
      <w:r>
        <w:separator/>
      </w:r>
    </w:p>
  </w:footnote>
  <w:footnote w:type="continuationSeparator" w:id="0">
    <w:p w14:paraId="29E81B24" w14:textId="77777777" w:rsidR="008052BE" w:rsidRDefault="008052BE" w:rsidP="00D71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AFE07" w14:textId="2A3958BE" w:rsidR="00D719CD" w:rsidRDefault="00195A2A" w:rsidP="00D719CD">
    <w:pPr>
      <w:pStyle w:val="Title"/>
    </w:pPr>
    <w:r>
      <w:t>Fall</w:t>
    </w:r>
    <w:r w:rsidR="00B12EBB">
      <w:t xml:space="preserve"> 2019</w:t>
    </w:r>
  </w:p>
  <w:p w14:paraId="6B0011EE" w14:textId="77777777" w:rsidR="00D719CD" w:rsidRPr="00D719CD" w:rsidRDefault="00D719CD" w:rsidP="00D719CD">
    <w:pPr>
      <w:pStyle w:val="Title"/>
    </w:pPr>
    <w:r>
      <w:rPr>
        <w:smallCaps/>
      </w:rPr>
      <w:t>BUAD</w:t>
    </w:r>
    <w:r w:rsidRPr="009E1422">
      <w:rPr>
        <w:smallCaps/>
      </w:rPr>
      <w:t xml:space="preserve"> </w:t>
    </w:r>
    <w:r>
      <w:rPr>
        <w:b w:val="0"/>
        <w:smallCaps/>
      </w:rPr>
      <w:t xml:space="preserve">280: </w:t>
    </w:r>
    <w:r>
      <w:t>Introduction to Financial Accounting</w:t>
    </w:r>
  </w:p>
  <w:p w14:paraId="7CBCCAEC" w14:textId="77777777" w:rsidR="00D719CD" w:rsidRDefault="00D719CD">
    <w:pPr>
      <w:pStyle w:val="Header"/>
    </w:pPr>
  </w:p>
  <w:p w14:paraId="71C1BC7D" w14:textId="77777777" w:rsidR="00D719CD" w:rsidRDefault="00D719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55CEF"/>
    <w:multiLevelType w:val="hybridMultilevel"/>
    <w:tmpl w:val="17B01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B600C"/>
    <w:multiLevelType w:val="hybridMultilevel"/>
    <w:tmpl w:val="3B6CF6F0"/>
    <w:lvl w:ilvl="0" w:tplc="B442EE5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BC7BC2"/>
    <w:multiLevelType w:val="hybridMultilevel"/>
    <w:tmpl w:val="18A26E4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9C0DB0"/>
    <w:multiLevelType w:val="hybridMultilevel"/>
    <w:tmpl w:val="B8CC0A4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1E332E3"/>
    <w:multiLevelType w:val="hybridMultilevel"/>
    <w:tmpl w:val="19F87DD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BB56C5"/>
    <w:multiLevelType w:val="hybridMultilevel"/>
    <w:tmpl w:val="17D838B0"/>
    <w:lvl w:ilvl="0" w:tplc="0C1AC210">
      <w:start w:val="1"/>
      <w:numFmt w:val="decimal"/>
      <w:lvlText w:val="%1)"/>
      <w:lvlJc w:val="left"/>
      <w:pPr>
        <w:ind w:left="720" w:hanging="360"/>
      </w:pPr>
      <w:rPr>
        <w:rFonts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772CEF"/>
    <w:multiLevelType w:val="hybridMultilevel"/>
    <w:tmpl w:val="CAE67DC8"/>
    <w:lvl w:ilvl="0" w:tplc="D32CE032">
      <w:start w:val="1"/>
      <w:numFmt w:val="decimal"/>
      <w:lvlText w:val="%1)"/>
      <w:lvlJc w:val="left"/>
      <w:pPr>
        <w:ind w:left="360" w:hanging="360"/>
      </w:pPr>
      <w:rPr>
        <w:b w:val="0"/>
      </w:rPr>
    </w:lvl>
    <w:lvl w:ilvl="1" w:tplc="ECEE1936">
      <w:start w:val="1"/>
      <w:numFmt w:val="lowerLetter"/>
      <w:lvlText w:val="%2."/>
      <w:lvlJc w:val="left"/>
      <w:pPr>
        <w:ind w:left="990" w:hanging="360"/>
      </w:pPr>
      <w:rPr>
        <w:rFonts w:hint="default"/>
      </w:rPr>
    </w:lvl>
    <w:lvl w:ilvl="2" w:tplc="0409001B">
      <w:start w:val="1"/>
      <w:numFmt w:val="lowerRoman"/>
      <w:lvlText w:val="%3."/>
      <w:lvlJc w:val="right"/>
      <w:pPr>
        <w:ind w:left="1710" w:hanging="180"/>
      </w:pPr>
    </w:lvl>
    <w:lvl w:ilvl="3" w:tplc="0409000F">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15:restartNumberingAfterBreak="0">
    <w:nsid w:val="7A0728A4"/>
    <w:multiLevelType w:val="hybridMultilevel"/>
    <w:tmpl w:val="A9C21E34"/>
    <w:lvl w:ilvl="0" w:tplc="C6B460E4">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5"/>
  </w:num>
  <w:num w:numId="5">
    <w:abstractNumId w:val="7"/>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QzNDezMDI3NbAwNDNQ0lEKTi0uzszPAykwrgUALiIeAiwAAAA="/>
  </w:docVars>
  <w:rsids>
    <w:rsidRoot w:val="008C2260"/>
    <w:rsid w:val="0000763A"/>
    <w:rsid w:val="00046719"/>
    <w:rsid w:val="00050D09"/>
    <w:rsid w:val="00056976"/>
    <w:rsid w:val="00067C79"/>
    <w:rsid w:val="000913A9"/>
    <w:rsid w:val="000A35FC"/>
    <w:rsid w:val="000A4B51"/>
    <w:rsid w:val="000B4B2F"/>
    <w:rsid w:val="000C2946"/>
    <w:rsid w:val="000D4C22"/>
    <w:rsid w:val="001011B0"/>
    <w:rsid w:val="001053FA"/>
    <w:rsid w:val="00112D6D"/>
    <w:rsid w:val="00132344"/>
    <w:rsid w:val="00133CA7"/>
    <w:rsid w:val="00173A34"/>
    <w:rsid w:val="00174D62"/>
    <w:rsid w:val="00180C93"/>
    <w:rsid w:val="001865A4"/>
    <w:rsid w:val="00195A2A"/>
    <w:rsid w:val="001A6F29"/>
    <w:rsid w:val="001B5A66"/>
    <w:rsid w:val="001E3796"/>
    <w:rsid w:val="00201C1C"/>
    <w:rsid w:val="002103A4"/>
    <w:rsid w:val="00292BD6"/>
    <w:rsid w:val="002A1182"/>
    <w:rsid w:val="002A4EF0"/>
    <w:rsid w:val="002A736B"/>
    <w:rsid w:val="002B09DA"/>
    <w:rsid w:val="002B1148"/>
    <w:rsid w:val="002B6A9A"/>
    <w:rsid w:val="002D4C49"/>
    <w:rsid w:val="002E1C3B"/>
    <w:rsid w:val="003005BF"/>
    <w:rsid w:val="003037EF"/>
    <w:rsid w:val="00327F78"/>
    <w:rsid w:val="00352CCF"/>
    <w:rsid w:val="003549C1"/>
    <w:rsid w:val="00354CA0"/>
    <w:rsid w:val="00364EF5"/>
    <w:rsid w:val="003658D4"/>
    <w:rsid w:val="003845A0"/>
    <w:rsid w:val="00393E0F"/>
    <w:rsid w:val="003B2A38"/>
    <w:rsid w:val="00411B49"/>
    <w:rsid w:val="004156EF"/>
    <w:rsid w:val="004744DA"/>
    <w:rsid w:val="00481660"/>
    <w:rsid w:val="00481F6B"/>
    <w:rsid w:val="00495CB4"/>
    <w:rsid w:val="004A7D33"/>
    <w:rsid w:val="004B58CC"/>
    <w:rsid w:val="004C3421"/>
    <w:rsid w:val="004F3E06"/>
    <w:rsid w:val="00517B66"/>
    <w:rsid w:val="00541AAD"/>
    <w:rsid w:val="00545FF4"/>
    <w:rsid w:val="005541B1"/>
    <w:rsid w:val="00582BE5"/>
    <w:rsid w:val="005D436E"/>
    <w:rsid w:val="005D5743"/>
    <w:rsid w:val="005E0846"/>
    <w:rsid w:val="005E719F"/>
    <w:rsid w:val="005F050A"/>
    <w:rsid w:val="00604C9D"/>
    <w:rsid w:val="006544E2"/>
    <w:rsid w:val="00666EC6"/>
    <w:rsid w:val="00676DB8"/>
    <w:rsid w:val="00676FD8"/>
    <w:rsid w:val="006921FD"/>
    <w:rsid w:val="00694A88"/>
    <w:rsid w:val="00696DA3"/>
    <w:rsid w:val="006C59FC"/>
    <w:rsid w:val="006E079C"/>
    <w:rsid w:val="006E307F"/>
    <w:rsid w:val="006E43EE"/>
    <w:rsid w:val="007137F0"/>
    <w:rsid w:val="00731189"/>
    <w:rsid w:val="00787F06"/>
    <w:rsid w:val="00791FFB"/>
    <w:rsid w:val="007932A2"/>
    <w:rsid w:val="007B3BCE"/>
    <w:rsid w:val="007D1C0E"/>
    <w:rsid w:val="007D1C2A"/>
    <w:rsid w:val="008008E1"/>
    <w:rsid w:val="008052BE"/>
    <w:rsid w:val="00805CBF"/>
    <w:rsid w:val="0081158E"/>
    <w:rsid w:val="0083126D"/>
    <w:rsid w:val="00843E63"/>
    <w:rsid w:val="0084725B"/>
    <w:rsid w:val="00882366"/>
    <w:rsid w:val="00896317"/>
    <w:rsid w:val="008B646E"/>
    <w:rsid w:val="008C2260"/>
    <w:rsid w:val="008F7DD6"/>
    <w:rsid w:val="009114C1"/>
    <w:rsid w:val="009312EC"/>
    <w:rsid w:val="009550C8"/>
    <w:rsid w:val="00964EBD"/>
    <w:rsid w:val="009877BF"/>
    <w:rsid w:val="009D57B3"/>
    <w:rsid w:val="009F2C99"/>
    <w:rsid w:val="00A25E34"/>
    <w:rsid w:val="00A3129C"/>
    <w:rsid w:val="00A43266"/>
    <w:rsid w:val="00A47ABD"/>
    <w:rsid w:val="00A90F5A"/>
    <w:rsid w:val="00A9183F"/>
    <w:rsid w:val="00AA2B2D"/>
    <w:rsid w:val="00AC470C"/>
    <w:rsid w:val="00AD29A9"/>
    <w:rsid w:val="00AE150C"/>
    <w:rsid w:val="00AE4BB6"/>
    <w:rsid w:val="00B12EBB"/>
    <w:rsid w:val="00B25424"/>
    <w:rsid w:val="00B316CC"/>
    <w:rsid w:val="00B702A8"/>
    <w:rsid w:val="00B722F9"/>
    <w:rsid w:val="00BE14B7"/>
    <w:rsid w:val="00BE6FF3"/>
    <w:rsid w:val="00BE732F"/>
    <w:rsid w:val="00BE7845"/>
    <w:rsid w:val="00BF5F87"/>
    <w:rsid w:val="00C205CB"/>
    <w:rsid w:val="00C51EF2"/>
    <w:rsid w:val="00C531F1"/>
    <w:rsid w:val="00C64C76"/>
    <w:rsid w:val="00C67A20"/>
    <w:rsid w:val="00CB15ED"/>
    <w:rsid w:val="00CC4E59"/>
    <w:rsid w:val="00CF7B2D"/>
    <w:rsid w:val="00D039AF"/>
    <w:rsid w:val="00D109F1"/>
    <w:rsid w:val="00D15744"/>
    <w:rsid w:val="00D37AFE"/>
    <w:rsid w:val="00D45807"/>
    <w:rsid w:val="00D56D9A"/>
    <w:rsid w:val="00D66649"/>
    <w:rsid w:val="00D719CD"/>
    <w:rsid w:val="00D820C7"/>
    <w:rsid w:val="00DC56D3"/>
    <w:rsid w:val="00DC6C3B"/>
    <w:rsid w:val="00DC6FBA"/>
    <w:rsid w:val="00E01B6B"/>
    <w:rsid w:val="00E174D5"/>
    <w:rsid w:val="00E30D98"/>
    <w:rsid w:val="00E30DF3"/>
    <w:rsid w:val="00E3656F"/>
    <w:rsid w:val="00E4664E"/>
    <w:rsid w:val="00E62D39"/>
    <w:rsid w:val="00E705AB"/>
    <w:rsid w:val="00E860C2"/>
    <w:rsid w:val="00E92E89"/>
    <w:rsid w:val="00EA684C"/>
    <w:rsid w:val="00ED4446"/>
    <w:rsid w:val="00EF03B5"/>
    <w:rsid w:val="00EF73BB"/>
    <w:rsid w:val="00F05DB9"/>
    <w:rsid w:val="00F52D1E"/>
    <w:rsid w:val="00F81B08"/>
    <w:rsid w:val="00FA1E0E"/>
    <w:rsid w:val="00FC7F0A"/>
    <w:rsid w:val="00FE13C2"/>
    <w:rsid w:val="00FF71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1E7F0B"/>
  <w14:defaultImageDpi w14:val="32767"/>
  <w15:docId w15:val="{F5F01F8B-BE7A-4DBA-B5A3-892FAB3B9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260"/>
    <w:rPr>
      <w:rFonts w:ascii="CG Times" w:eastAsia="Times New Roman" w:hAnsi="CG Times"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2260"/>
    <w:pPr>
      <w:spacing w:after="200" w:line="276" w:lineRule="auto"/>
      <w:ind w:left="720"/>
      <w:contextualSpacing/>
    </w:pPr>
    <w:rPr>
      <w:rFonts w:ascii="Calibri" w:eastAsia="Calibri" w:hAnsi="Calibri"/>
      <w:sz w:val="22"/>
      <w:szCs w:val="22"/>
    </w:rPr>
  </w:style>
  <w:style w:type="paragraph" w:styleId="Header">
    <w:name w:val="header"/>
    <w:basedOn w:val="Normal"/>
    <w:link w:val="HeaderChar"/>
    <w:uiPriority w:val="99"/>
    <w:unhideWhenUsed/>
    <w:rsid w:val="00D719CD"/>
    <w:pPr>
      <w:tabs>
        <w:tab w:val="center" w:pos="4680"/>
        <w:tab w:val="right" w:pos="9360"/>
      </w:tabs>
    </w:pPr>
  </w:style>
  <w:style w:type="character" w:customStyle="1" w:styleId="HeaderChar">
    <w:name w:val="Header Char"/>
    <w:basedOn w:val="DefaultParagraphFont"/>
    <w:link w:val="Header"/>
    <w:uiPriority w:val="99"/>
    <w:rsid w:val="00D719CD"/>
    <w:rPr>
      <w:rFonts w:ascii="CG Times" w:eastAsia="Times New Roman" w:hAnsi="CG Times" w:cs="Times New Roman"/>
      <w:sz w:val="20"/>
      <w:szCs w:val="20"/>
    </w:rPr>
  </w:style>
  <w:style w:type="paragraph" w:styleId="Footer">
    <w:name w:val="footer"/>
    <w:basedOn w:val="Normal"/>
    <w:link w:val="FooterChar"/>
    <w:uiPriority w:val="99"/>
    <w:unhideWhenUsed/>
    <w:rsid w:val="00D719CD"/>
    <w:pPr>
      <w:tabs>
        <w:tab w:val="center" w:pos="4680"/>
        <w:tab w:val="right" w:pos="9360"/>
      </w:tabs>
    </w:pPr>
  </w:style>
  <w:style w:type="character" w:customStyle="1" w:styleId="FooterChar">
    <w:name w:val="Footer Char"/>
    <w:basedOn w:val="DefaultParagraphFont"/>
    <w:link w:val="Footer"/>
    <w:uiPriority w:val="99"/>
    <w:rsid w:val="00D719CD"/>
    <w:rPr>
      <w:rFonts w:ascii="CG Times" w:eastAsia="Times New Roman" w:hAnsi="CG Times" w:cs="Times New Roman"/>
      <w:sz w:val="20"/>
      <w:szCs w:val="20"/>
    </w:rPr>
  </w:style>
  <w:style w:type="paragraph" w:styleId="Title">
    <w:name w:val="Title"/>
    <w:basedOn w:val="Normal"/>
    <w:link w:val="TitleChar"/>
    <w:qFormat/>
    <w:rsid w:val="00D719CD"/>
    <w:pPr>
      <w:jc w:val="center"/>
    </w:pPr>
    <w:rPr>
      <w:rFonts w:ascii="Arial" w:hAnsi="Arial"/>
      <w:b/>
      <w:sz w:val="24"/>
      <w:lang w:bidi="he-IL"/>
    </w:rPr>
  </w:style>
  <w:style w:type="character" w:customStyle="1" w:styleId="TitleChar">
    <w:name w:val="Title Char"/>
    <w:basedOn w:val="DefaultParagraphFont"/>
    <w:link w:val="Title"/>
    <w:rsid w:val="00D719CD"/>
    <w:rPr>
      <w:rFonts w:ascii="Arial" w:eastAsia="Times New Roman" w:hAnsi="Arial" w:cs="Times New Roman"/>
      <w:b/>
      <w:szCs w:val="20"/>
      <w:lang w:bidi="he-IL"/>
    </w:rPr>
  </w:style>
  <w:style w:type="character" w:styleId="Hyperlink">
    <w:name w:val="Hyperlink"/>
    <w:rsid w:val="00B316CC"/>
    <w:rPr>
      <w:color w:val="0000FF"/>
      <w:u w:val="single"/>
    </w:rPr>
  </w:style>
  <w:style w:type="paragraph" w:styleId="BalloonText">
    <w:name w:val="Balloon Text"/>
    <w:basedOn w:val="Normal"/>
    <w:link w:val="BalloonTextChar"/>
    <w:uiPriority w:val="99"/>
    <w:semiHidden/>
    <w:unhideWhenUsed/>
    <w:rsid w:val="00E705AB"/>
    <w:rPr>
      <w:rFonts w:ascii="Tahoma" w:hAnsi="Tahoma" w:cs="Tahoma"/>
      <w:sz w:val="16"/>
      <w:szCs w:val="16"/>
    </w:rPr>
  </w:style>
  <w:style w:type="character" w:customStyle="1" w:styleId="BalloonTextChar">
    <w:name w:val="Balloon Text Char"/>
    <w:basedOn w:val="DefaultParagraphFont"/>
    <w:link w:val="BalloonText"/>
    <w:uiPriority w:val="99"/>
    <w:semiHidden/>
    <w:rsid w:val="00E705AB"/>
    <w:rPr>
      <w:rFonts w:ascii="Tahoma" w:eastAsia="Times New Roman" w:hAnsi="Tahoma" w:cs="Tahoma"/>
      <w:sz w:val="16"/>
      <w:szCs w:val="16"/>
    </w:rPr>
  </w:style>
  <w:style w:type="paragraph" w:styleId="Caption">
    <w:name w:val="caption"/>
    <w:basedOn w:val="Normal"/>
    <w:next w:val="Normal"/>
    <w:uiPriority w:val="35"/>
    <w:unhideWhenUsed/>
    <w:qFormat/>
    <w:rsid w:val="00666EC6"/>
    <w:pPr>
      <w:spacing w:after="200"/>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purpose.nike.com/standing-up-for-equalit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1" Type="http://schemas.openxmlformats.org/officeDocument/2006/relationships/oleObject" Target="file:///C:\Users\n\Downloads\NKE%20Income%20Statement%20(1).csv" TargetMode="Externa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'Ratio Analysis '!$C$8:$D$8</c:f>
              <c:strCache>
                <c:ptCount val="1"/>
                <c:pt idx="0">
                  <c:v>Profit Margin Nike</c:v>
                </c:pt>
              </c:strCache>
            </c:strRef>
          </c:tx>
          <c:dLbls>
            <c:spPr>
              <a:noFill/>
              <a:ln>
                <a:noFill/>
              </a:ln>
              <a:effectLst/>
            </c:spPr>
            <c:dLblPos val="b"/>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'Ratio Analysis '!$E$7:$G$7</c:f>
              <c:numCache>
                <c:formatCode>General</c:formatCode>
                <c:ptCount val="3"/>
                <c:pt idx="0">
                  <c:v>2017</c:v>
                </c:pt>
                <c:pt idx="1">
                  <c:v>2018</c:v>
                </c:pt>
                <c:pt idx="2">
                  <c:v>2019</c:v>
                </c:pt>
              </c:numCache>
            </c:numRef>
          </c:cat>
          <c:val>
            <c:numRef>
              <c:f>'Ratio Analysis '!$E$8:$G$8</c:f>
              <c:numCache>
                <c:formatCode>0.00</c:formatCode>
                <c:ptCount val="3"/>
                <c:pt idx="0">
                  <c:v>0.12343522561863174</c:v>
                </c:pt>
                <c:pt idx="1">
                  <c:v>5.3108772701046789E-2</c:v>
                </c:pt>
                <c:pt idx="2">
                  <c:v>0.10299869621903521</c:v>
                </c:pt>
              </c:numCache>
            </c:numRef>
          </c:val>
          <c:smooth val="0"/>
          <c:extLst>
            <c:ext xmlns:c16="http://schemas.microsoft.com/office/drawing/2014/chart" uri="{C3380CC4-5D6E-409C-BE32-E72D297353CC}">
              <c16:uniqueId val="{00000000-2F39-45F4-9470-C7464CF3F685}"/>
            </c:ext>
          </c:extLst>
        </c:ser>
        <c:ser>
          <c:idx val="1"/>
          <c:order val="1"/>
          <c:tx>
            <c:strRef>
              <c:f>'Ratio Analysis '!$C$9:$D$9</c:f>
              <c:strCache>
                <c:ptCount val="1"/>
                <c:pt idx="0">
                  <c:v>Profit Margin Lululemon </c:v>
                </c:pt>
              </c:strCache>
            </c:strRef>
          </c:tx>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'Ratio Analysis '!$E$7:$G$7</c:f>
              <c:numCache>
                <c:formatCode>General</c:formatCode>
                <c:ptCount val="3"/>
                <c:pt idx="0">
                  <c:v>2017</c:v>
                </c:pt>
                <c:pt idx="1">
                  <c:v>2018</c:v>
                </c:pt>
                <c:pt idx="2">
                  <c:v>2019</c:v>
                </c:pt>
              </c:numCache>
            </c:numRef>
          </c:cat>
          <c:val>
            <c:numRef>
              <c:f>'Ratio Analysis '!$E$9:$G$9</c:f>
              <c:numCache>
                <c:formatCode>0.00</c:formatCode>
                <c:ptCount val="3"/>
                <c:pt idx="0">
                  <c:v>0.12940711280366082</c:v>
                </c:pt>
                <c:pt idx="1">
                  <c:v>9.7638477703109003E-2</c:v>
                </c:pt>
                <c:pt idx="2">
                  <c:v>0.14712714916040689</c:v>
                </c:pt>
              </c:numCache>
            </c:numRef>
          </c:val>
          <c:smooth val="0"/>
          <c:extLst>
            <c:ext xmlns:c16="http://schemas.microsoft.com/office/drawing/2014/chart" uri="{C3380CC4-5D6E-409C-BE32-E72D297353CC}">
              <c16:uniqueId val="{00000001-2F39-45F4-9470-C7464CF3F685}"/>
            </c:ext>
          </c:extLst>
        </c:ser>
        <c:dLbls>
          <c:showLegendKey val="0"/>
          <c:showVal val="0"/>
          <c:showCatName val="0"/>
          <c:showSerName val="0"/>
          <c:showPercent val="0"/>
          <c:showBubbleSize val="0"/>
        </c:dLbls>
        <c:marker val="1"/>
        <c:smooth val="0"/>
        <c:axId val="150753280"/>
        <c:axId val="150754816"/>
      </c:lineChart>
      <c:catAx>
        <c:axId val="150753280"/>
        <c:scaling>
          <c:orientation val="minMax"/>
        </c:scaling>
        <c:delete val="0"/>
        <c:axPos val="b"/>
        <c:numFmt formatCode="General" sourceLinked="1"/>
        <c:majorTickMark val="none"/>
        <c:minorTickMark val="none"/>
        <c:tickLblPos val="nextTo"/>
        <c:crossAx val="150754816"/>
        <c:crosses val="autoZero"/>
        <c:auto val="1"/>
        <c:lblAlgn val="ctr"/>
        <c:lblOffset val="100"/>
        <c:noMultiLvlLbl val="0"/>
      </c:catAx>
      <c:valAx>
        <c:axId val="150754816"/>
        <c:scaling>
          <c:orientation val="minMax"/>
        </c:scaling>
        <c:delete val="0"/>
        <c:axPos val="l"/>
        <c:majorGridlines/>
        <c:numFmt formatCode="0.00" sourceLinked="1"/>
        <c:majorTickMark val="none"/>
        <c:minorTickMark val="none"/>
        <c:tickLblPos val="nextTo"/>
        <c:crossAx val="150753280"/>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0"/>
          <c:tx>
            <c:strRef>
              <c:f>'Ratio Analysis '!$C$10:$D$10</c:f>
              <c:strCache>
                <c:ptCount val="1"/>
                <c:pt idx="0">
                  <c:v>Return on Assets Nike</c:v>
                </c:pt>
              </c:strCache>
            </c:strRef>
          </c:tx>
          <c:spPr>
            <a:solidFill>
              <a:srgbClr val="00B0F0"/>
            </a:solidFill>
          </c:spPr>
          <c:invertIfNegative val="0"/>
          <c:dPt>
            <c:idx val="0"/>
            <c:invertIfNegative val="0"/>
            <c:bubble3D val="0"/>
            <c:spPr>
              <a:solidFill>
                <a:srgbClr val="00B0F0"/>
              </a:solidFill>
            </c:spPr>
            <c:extLst>
              <c:ext xmlns:c16="http://schemas.microsoft.com/office/drawing/2014/chart" uri="{C3380CC4-5D6E-409C-BE32-E72D297353CC}">
                <c16:uniqueId val="{00000001-412F-4590-8541-1014CE12FD05}"/>
              </c:ext>
            </c:extLst>
          </c:dPt>
          <c:cat>
            <c:numRef>
              <c:f>'Ratio Analysis '!$E$7:$G$7</c:f>
              <c:numCache>
                <c:formatCode>General</c:formatCode>
                <c:ptCount val="3"/>
                <c:pt idx="0">
                  <c:v>2017</c:v>
                </c:pt>
                <c:pt idx="1">
                  <c:v>2018</c:v>
                </c:pt>
                <c:pt idx="2">
                  <c:v>2019</c:v>
                </c:pt>
              </c:numCache>
            </c:numRef>
          </c:cat>
          <c:val>
            <c:numRef>
              <c:f>'Ratio Analysis '!$E$10:$G$10</c:f>
              <c:numCache>
                <c:formatCode>0.00</c:formatCode>
                <c:ptCount val="3"/>
                <c:pt idx="0">
                  <c:v>0.18229502558149532</c:v>
                </c:pt>
                <c:pt idx="1">
                  <c:v>8.5773872914447991E-2</c:v>
                </c:pt>
                <c:pt idx="2">
                  <c:v>0.16987814647721045</c:v>
                </c:pt>
              </c:numCache>
            </c:numRef>
          </c:val>
          <c:extLst>
            <c:ext xmlns:c16="http://schemas.microsoft.com/office/drawing/2014/chart" uri="{C3380CC4-5D6E-409C-BE32-E72D297353CC}">
              <c16:uniqueId val="{00000002-412F-4590-8541-1014CE12FD05}"/>
            </c:ext>
          </c:extLst>
        </c:ser>
        <c:ser>
          <c:idx val="3"/>
          <c:order val="1"/>
          <c:tx>
            <c:strRef>
              <c:f>'Ratio Analysis '!$C$11:$D$11</c:f>
              <c:strCache>
                <c:ptCount val="1"/>
                <c:pt idx="0">
                  <c:v>Return on Assets Lululemon </c:v>
                </c:pt>
              </c:strCache>
            </c:strRef>
          </c:tx>
          <c:spPr>
            <a:solidFill>
              <a:srgbClr val="FF0000"/>
            </a:solidFill>
          </c:spPr>
          <c:invertIfNegative val="0"/>
          <c:cat>
            <c:numRef>
              <c:f>'Ratio Analysis '!$E$7:$G$7</c:f>
              <c:numCache>
                <c:formatCode>General</c:formatCode>
                <c:ptCount val="3"/>
                <c:pt idx="0">
                  <c:v>2017</c:v>
                </c:pt>
                <c:pt idx="1">
                  <c:v>2018</c:v>
                </c:pt>
                <c:pt idx="2">
                  <c:v>2019</c:v>
                </c:pt>
              </c:numCache>
            </c:numRef>
          </c:cat>
          <c:val>
            <c:numRef>
              <c:f>'Ratio Analysis '!$E$11:$G$11</c:f>
              <c:numCache>
                <c:formatCode>0.00</c:formatCode>
                <c:ptCount val="3"/>
                <c:pt idx="0">
                  <c:v>0.18303076665976889</c:v>
                </c:pt>
                <c:pt idx="1">
                  <c:v>0.12942917202698245</c:v>
                </c:pt>
                <c:pt idx="2">
                  <c:v>0.23207101607848762</c:v>
                </c:pt>
              </c:numCache>
            </c:numRef>
          </c:val>
          <c:extLst>
            <c:ext xmlns:c16="http://schemas.microsoft.com/office/drawing/2014/chart" uri="{C3380CC4-5D6E-409C-BE32-E72D297353CC}">
              <c16:uniqueId val="{00000003-412F-4590-8541-1014CE12FD05}"/>
            </c:ext>
          </c:extLst>
        </c:ser>
        <c:dLbls>
          <c:showLegendKey val="0"/>
          <c:showVal val="0"/>
          <c:showCatName val="0"/>
          <c:showSerName val="0"/>
          <c:showPercent val="0"/>
          <c:showBubbleSize val="0"/>
        </c:dLbls>
        <c:gapWidth val="150"/>
        <c:axId val="66732032"/>
        <c:axId val="66733568"/>
      </c:barChart>
      <c:catAx>
        <c:axId val="66732032"/>
        <c:scaling>
          <c:orientation val="minMax"/>
        </c:scaling>
        <c:delete val="0"/>
        <c:axPos val="b"/>
        <c:numFmt formatCode="General" sourceLinked="1"/>
        <c:majorTickMark val="none"/>
        <c:minorTickMark val="none"/>
        <c:tickLblPos val="nextTo"/>
        <c:crossAx val="66733568"/>
        <c:crosses val="autoZero"/>
        <c:auto val="1"/>
        <c:lblAlgn val="ctr"/>
        <c:lblOffset val="100"/>
        <c:noMultiLvlLbl val="0"/>
      </c:catAx>
      <c:valAx>
        <c:axId val="66733568"/>
        <c:scaling>
          <c:orientation val="minMax"/>
        </c:scaling>
        <c:delete val="0"/>
        <c:axPos val="l"/>
        <c:majorGridlines/>
        <c:numFmt formatCode="0.00" sourceLinked="1"/>
        <c:majorTickMark val="none"/>
        <c:minorTickMark val="none"/>
        <c:tickLblPos val="nextTo"/>
        <c:crossAx val="667320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'Ratio Analysis '!$D$2</c:f>
              <c:strCache>
                <c:ptCount val="1"/>
                <c:pt idx="0">
                  <c:v>Nike</c:v>
                </c:pt>
              </c:strCache>
            </c:strRef>
          </c:tx>
          <c:invertIfNegative val="0"/>
          <c:cat>
            <c:numRef>
              <c:f>'Ratio Analysis '!$E$1:$G$1</c:f>
              <c:numCache>
                <c:formatCode>General</c:formatCode>
                <c:ptCount val="3"/>
                <c:pt idx="0">
                  <c:v>2017</c:v>
                </c:pt>
                <c:pt idx="1">
                  <c:v>2018</c:v>
                </c:pt>
                <c:pt idx="2">
                  <c:v>2019</c:v>
                </c:pt>
              </c:numCache>
            </c:numRef>
          </c:cat>
          <c:val>
            <c:numRef>
              <c:f>'Ratio Analysis '!$E$2:$G$2</c:f>
              <c:numCache>
                <c:formatCode>0.00</c:formatCode>
                <c:ptCount val="3"/>
                <c:pt idx="0">
                  <c:v>2.9340518816222141</c:v>
                </c:pt>
                <c:pt idx="1">
                  <c:v>2.5056291390728478</c:v>
                </c:pt>
                <c:pt idx="2">
                  <c:v>2.1008136282735825</c:v>
                </c:pt>
              </c:numCache>
            </c:numRef>
          </c:val>
          <c:extLst>
            <c:ext xmlns:c16="http://schemas.microsoft.com/office/drawing/2014/chart" uri="{C3380CC4-5D6E-409C-BE32-E72D297353CC}">
              <c16:uniqueId val="{00000000-7F75-406E-A51C-47C327230926}"/>
            </c:ext>
          </c:extLst>
        </c:ser>
        <c:ser>
          <c:idx val="1"/>
          <c:order val="1"/>
          <c:tx>
            <c:strRef>
              <c:f>'Ratio Analysis '!$D$3</c:f>
              <c:strCache>
                <c:ptCount val="1"/>
                <c:pt idx="0">
                  <c:v>Lululemon </c:v>
                </c:pt>
              </c:strCache>
            </c:strRef>
          </c:tx>
          <c:invertIfNegative val="0"/>
          <c:cat>
            <c:numRef>
              <c:f>'Ratio Analysis '!$E$1:$G$1</c:f>
              <c:numCache>
                <c:formatCode>General</c:formatCode>
                <c:ptCount val="3"/>
                <c:pt idx="0">
                  <c:v>2017</c:v>
                </c:pt>
                <c:pt idx="1">
                  <c:v>2018</c:v>
                </c:pt>
                <c:pt idx="2">
                  <c:v>2019</c:v>
                </c:pt>
              </c:numCache>
            </c:numRef>
          </c:cat>
          <c:val>
            <c:numRef>
              <c:f>'Ratio Analysis '!$E$3:$G$3</c:f>
              <c:numCache>
                <c:formatCode>0.00</c:formatCode>
                <c:ptCount val="3"/>
                <c:pt idx="0">
                  <c:v>4.8156629350297582</c:v>
                </c:pt>
                <c:pt idx="1">
                  <c:v>4.9087211805959026</c:v>
                </c:pt>
                <c:pt idx="2">
                  <c:v>2.8558395290892489</c:v>
                </c:pt>
              </c:numCache>
            </c:numRef>
          </c:val>
          <c:extLst>
            <c:ext xmlns:c16="http://schemas.microsoft.com/office/drawing/2014/chart" uri="{C3380CC4-5D6E-409C-BE32-E72D297353CC}">
              <c16:uniqueId val="{00000001-7F75-406E-A51C-47C327230926}"/>
            </c:ext>
          </c:extLst>
        </c:ser>
        <c:dLbls>
          <c:showLegendKey val="0"/>
          <c:showVal val="0"/>
          <c:showCatName val="0"/>
          <c:showSerName val="0"/>
          <c:showPercent val="0"/>
          <c:showBubbleSize val="0"/>
        </c:dLbls>
        <c:gapWidth val="150"/>
        <c:axId val="66432000"/>
        <c:axId val="66433792"/>
      </c:barChart>
      <c:catAx>
        <c:axId val="66432000"/>
        <c:scaling>
          <c:orientation val="minMax"/>
        </c:scaling>
        <c:delete val="0"/>
        <c:axPos val="b"/>
        <c:numFmt formatCode="General" sourceLinked="1"/>
        <c:majorTickMark val="none"/>
        <c:minorTickMark val="none"/>
        <c:tickLblPos val="nextTo"/>
        <c:crossAx val="66433792"/>
        <c:crosses val="autoZero"/>
        <c:auto val="1"/>
        <c:lblAlgn val="ctr"/>
        <c:lblOffset val="100"/>
        <c:noMultiLvlLbl val="0"/>
      </c:catAx>
      <c:valAx>
        <c:axId val="66433792"/>
        <c:scaling>
          <c:orientation val="minMax"/>
        </c:scaling>
        <c:delete val="0"/>
        <c:axPos val="l"/>
        <c:majorGridlines/>
        <c:numFmt formatCode="0.00" sourceLinked="1"/>
        <c:majorTickMark val="none"/>
        <c:minorTickMark val="none"/>
        <c:tickLblPos val="nextTo"/>
        <c:crossAx val="66432000"/>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'Ratio Analysis '!$D$5</c:f>
              <c:strCache>
                <c:ptCount val="1"/>
                <c:pt idx="0">
                  <c:v>Nike</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'Ratio Analysis '!$E$4:$G$4</c:f>
              <c:numCache>
                <c:formatCode>0.0</c:formatCode>
                <c:ptCount val="3"/>
                <c:pt idx="0">
                  <c:v>2017</c:v>
                </c:pt>
                <c:pt idx="1">
                  <c:v>2018</c:v>
                </c:pt>
                <c:pt idx="2">
                  <c:v>2019</c:v>
                </c:pt>
              </c:numCache>
            </c:numRef>
          </c:cat>
          <c:val>
            <c:numRef>
              <c:f>'Ratio Analysis '!$E$5:$G$5</c:f>
              <c:numCache>
                <c:formatCode>0.0</c:formatCode>
                <c:ptCount val="3"/>
                <c:pt idx="0">
                  <c:v>0.87466752639638912</c:v>
                </c:pt>
                <c:pt idx="1">
                  <c:v>1.2967794537301265</c:v>
                </c:pt>
                <c:pt idx="2">
                  <c:v>1.6235619469026548</c:v>
                </c:pt>
              </c:numCache>
            </c:numRef>
          </c:val>
          <c:smooth val="0"/>
          <c:extLst>
            <c:ext xmlns:c16="http://schemas.microsoft.com/office/drawing/2014/chart" uri="{C3380CC4-5D6E-409C-BE32-E72D297353CC}">
              <c16:uniqueId val="{00000000-4BD9-4252-98CE-02EA5B984A0B}"/>
            </c:ext>
          </c:extLst>
        </c:ser>
        <c:ser>
          <c:idx val="1"/>
          <c:order val="1"/>
          <c:tx>
            <c:strRef>
              <c:f>'Ratio Analysis '!$D$6</c:f>
              <c:strCache>
                <c:ptCount val="1"/>
                <c:pt idx="0">
                  <c:v>Lululemon </c:v>
                </c:pt>
              </c:strCache>
            </c:strRef>
          </c:tx>
          <c:marker>
            <c:symbol val="none"/>
          </c:marker>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'Ratio Analysis '!$E$4:$G$4</c:f>
              <c:numCache>
                <c:formatCode>0.0</c:formatCode>
                <c:ptCount val="3"/>
                <c:pt idx="0">
                  <c:v>2017</c:v>
                </c:pt>
                <c:pt idx="1">
                  <c:v>2018</c:v>
                </c:pt>
                <c:pt idx="2">
                  <c:v>2019</c:v>
                </c:pt>
              </c:numCache>
            </c:numRef>
          </c:cat>
          <c:val>
            <c:numRef>
              <c:f>'Ratio Analysis '!$E$6:$G$6</c:f>
              <c:numCache>
                <c:formatCode>0.0</c:formatCode>
                <c:ptCount val="3"/>
                <c:pt idx="0">
                  <c:v>0.2188043439097688</c:v>
                </c:pt>
                <c:pt idx="1">
                  <c:v>0.25142959122332431</c:v>
                </c:pt>
                <c:pt idx="2">
                  <c:v>0.44173377824651189</c:v>
                </c:pt>
              </c:numCache>
            </c:numRef>
          </c:val>
          <c:smooth val="0"/>
          <c:extLst>
            <c:ext xmlns:c16="http://schemas.microsoft.com/office/drawing/2014/chart" uri="{C3380CC4-5D6E-409C-BE32-E72D297353CC}">
              <c16:uniqueId val="{00000001-4BD9-4252-98CE-02EA5B984A0B}"/>
            </c:ext>
          </c:extLst>
        </c:ser>
        <c:dLbls>
          <c:showLegendKey val="0"/>
          <c:showVal val="0"/>
          <c:showCatName val="0"/>
          <c:showSerName val="0"/>
          <c:showPercent val="0"/>
          <c:showBubbleSize val="0"/>
        </c:dLbls>
        <c:smooth val="0"/>
        <c:axId val="106933248"/>
        <c:axId val="107496192"/>
      </c:lineChart>
      <c:catAx>
        <c:axId val="106933248"/>
        <c:scaling>
          <c:orientation val="minMax"/>
        </c:scaling>
        <c:delete val="0"/>
        <c:axPos val="b"/>
        <c:numFmt formatCode="0.0" sourceLinked="1"/>
        <c:majorTickMark val="out"/>
        <c:minorTickMark val="none"/>
        <c:tickLblPos val="nextTo"/>
        <c:crossAx val="107496192"/>
        <c:crosses val="autoZero"/>
        <c:auto val="1"/>
        <c:lblAlgn val="ctr"/>
        <c:lblOffset val="100"/>
        <c:noMultiLvlLbl val="0"/>
      </c:catAx>
      <c:valAx>
        <c:axId val="107496192"/>
        <c:scaling>
          <c:orientation val="minMax"/>
        </c:scaling>
        <c:delete val="0"/>
        <c:axPos val="l"/>
        <c:majorGridlines/>
        <c:numFmt formatCode="0.0" sourceLinked="1"/>
        <c:majorTickMark val="out"/>
        <c:minorTickMark val="none"/>
        <c:tickLblPos val="nextTo"/>
        <c:crossAx val="1069332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4"/>
          <c:order val="0"/>
          <c:tx>
            <c:strRef>
              <c:f>'Ratio Analysis '!$C$12:$D$12</c:f>
              <c:strCache>
                <c:ptCount val="1"/>
                <c:pt idx="0">
                  <c:v>Asset Turnover  (ATO) Nike</c:v>
                </c:pt>
              </c:strCache>
            </c:strRef>
          </c:tx>
          <c:cat>
            <c:numRef>
              <c:f>'Ratio Analysis '!$E$7:$G$7</c:f>
              <c:numCache>
                <c:formatCode>General</c:formatCode>
                <c:ptCount val="3"/>
                <c:pt idx="0">
                  <c:v>2017</c:v>
                </c:pt>
                <c:pt idx="1">
                  <c:v>2018</c:v>
                </c:pt>
                <c:pt idx="2">
                  <c:v>2019</c:v>
                </c:pt>
              </c:numCache>
            </c:numRef>
          </c:cat>
          <c:val>
            <c:numRef>
              <c:f>'Ratio Analysis '!$E$12:$G$12</c:f>
              <c:numCache>
                <c:formatCode>0.00</c:formatCode>
                <c:ptCount val="3"/>
                <c:pt idx="0">
                  <c:v>0.81852186250483683</c:v>
                </c:pt>
                <c:pt idx="1">
                  <c:v>0.90703762868299609</c:v>
                </c:pt>
                <c:pt idx="2">
                  <c:v>0.91255217776278619</c:v>
                </c:pt>
              </c:numCache>
            </c:numRef>
          </c:val>
          <c:smooth val="0"/>
          <c:extLst>
            <c:ext xmlns:c16="http://schemas.microsoft.com/office/drawing/2014/chart" uri="{C3380CC4-5D6E-409C-BE32-E72D297353CC}">
              <c16:uniqueId val="{00000000-467E-4FFB-8DE5-71EF42D19FE9}"/>
            </c:ext>
          </c:extLst>
        </c:ser>
        <c:ser>
          <c:idx val="5"/>
          <c:order val="1"/>
          <c:tx>
            <c:strRef>
              <c:f>'Ratio Analysis '!$C$13:$D$13</c:f>
              <c:strCache>
                <c:ptCount val="1"/>
                <c:pt idx="0">
                  <c:v>Asset Turnover  (ATO) Lululemon </c:v>
                </c:pt>
              </c:strCache>
            </c:strRef>
          </c:tx>
          <c:cat>
            <c:numRef>
              <c:f>'Ratio Analysis '!$E$7:$G$7</c:f>
              <c:numCache>
                <c:formatCode>General</c:formatCode>
                <c:ptCount val="3"/>
                <c:pt idx="0">
                  <c:v>2017</c:v>
                </c:pt>
                <c:pt idx="1">
                  <c:v>2018</c:v>
                </c:pt>
                <c:pt idx="2">
                  <c:v>2019</c:v>
                </c:pt>
              </c:numCache>
            </c:numRef>
          </c:cat>
          <c:val>
            <c:numRef>
              <c:f>'Ratio Analysis '!$E$13:$G$13</c:f>
              <c:numCache>
                <c:formatCode>0.00</c:formatCode>
                <c:ptCount val="3"/>
                <c:pt idx="0">
                  <c:v>0.69064656620861864</c:v>
                </c:pt>
                <c:pt idx="1">
                  <c:v>0.62567007074866288</c:v>
                </c:pt>
                <c:pt idx="2">
                  <c:v>0.70610842462096668</c:v>
                </c:pt>
              </c:numCache>
            </c:numRef>
          </c:val>
          <c:smooth val="0"/>
          <c:extLst>
            <c:ext xmlns:c16="http://schemas.microsoft.com/office/drawing/2014/chart" uri="{C3380CC4-5D6E-409C-BE32-E72D297353CC}">
              <c16:uniqueId val="{00000001-467E-4FFB-8DE5-71EF42D19FE9}"/>
            </c:ext>
          </c:extLst>
        </c:ser>
        <c:dLbls>
          <c:showLegendKey val="0"/>
          <c:showVal val="0"/>
          <c:showCatName val="0"/>
          <c:showSerName val="0"/>
          <c:showPercent val="0"/>
          <c:showBubbleSize val="0"/>
        </c:dLbls>
        <c:marker val="1"/>
        <c:smooth val="0"/>
        <c:axId val="99558528"/>
        <c:axId val="99560064"/>
      </c:lineChart>
      <c:catAx>
        <c:axId val="99558528"/>
        <c:scaling>
          <c:orientation val="minMax"/>
        </c:scaling>
        <c:delete val="0"/>
        <c:axPos val="b"/>
        <c:numFmt formatCode="General" sourceLinked="1"/>
        <c:majorTickMark val="none"/>
        <c:minorTickMark val="none"/>
        <c:tickLblPos val="nextTo"/>
        <c:crossAx val="99560064"/>
        <c:crosses val="autoZero"/>
        <c:auto val="1"/>
        <c:lblAlgn val="ctr"/>
        <c:lblOffset val="100"/>
        <c:noMultiLvlLbl val="0"/>
      </c:catAx>
      <c:valAx>
        <c:axId val="99560064"/>
        <c:scaling>
          <c:orientation val="minMax"/>
        </c:scaling>
        <c:delete val="0"/>
        <c:axPos val="l"/>
        <c:majorGridlines/>
        <c:numFmt formatCode="0.00" sourceLinked="1"/>
        <c:majorTickMark val="none"/>
        <c:minorTickMark val="none"/>
        <c:tickLblPos val="nextTo"/>
        <c:crossAx val="99558528"/>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TotalTime>
  <Pages>7</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USC Marshall School of Business</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Suh</dc:creator>
  <cp:lastModifiedBy>User</cp:lastModifiedBy>
  <cp:revision>2</cp:revision>
  <dcterms:created xsi:type="dcterms:W3CDTF">2019-12-01T21:10:00Z</dcterms:created>
  <dcterms:modified xsi:type="dcterms:W3CDTF">2019-12-01T21:10:00Z</dcterms:modified>
</cp:coreProperties>
</file>